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46B4" w14:textId="77777777" w:rsidR="001176C2" w:rsidRPr="00F135F1" w:rsidRDefault="001176C2" w:rsidP="00F135F1">
      <w:pPr>
        <w:spacing w:after="0" w:line="480" w:lineRule="auto"/>
        <w:jc w:val="center"/>
        <w:rPr>
          <w:rFonts w:ascii="Times New Roman" w:hAnsi="Times New Roman"/>
          <w:sz w:val="24"/>
          <w:szCs w:val="24"/>
        </w:rPr>
      </w:pPr>
    </w:p>
    <w:p w14:paraId="50A210AD" w14:textId="77777777" w:rsidR="001176C2" w:rsidRPr="00F135F1" w:rsidRDefault="001176C2" w:rsidP="00F135F1">
      <w:pPr>
        <w:spacing w:after="0" w:line="480" w:lineRule="auto"/>
        <w:jc w:val="center"/>
        <w:rPr>
          <w:rFonts w:ascii="Times New Roman" w:hAnsi="Times New Roman"/>
          <w:sz w:val="24"/>
          <w:szCs w:val="24"/>
        </w:rPr>
      </w:pPr>
    </w:p>
    <w:p w14:paraId="42CC05A1" w14:textId="77777777" w:rsidR="001176C2" w:rsidRPr="00F135F1" w:rsidRDefault="001176C2" w:rsidP="00F135F1">
      <w:pPr>
        <w:spacing w:after="0" w:line="480" w:lineRule="auto"/>
        <w:rPr>
          <w:rFonts w:ascii="Times New Roman" w:hAnsi="Times New Roman"/>
          <w:sz w:val="24"/>
          <w:szCs w:val="24"/>
        </w:rPr>
      </w:pPr>
    </w:p>
    <w:p w14:paraId="2800BB25" w14:textId="31D6BCBB" w:rsidR="001176C2" w:rsidRPr="001E6462" w:rsidRDefault="001E6462" w:rsidP="00F135F1">
      <w:pPr>
        <w:spacing w:after="0" w:line="480" w:lineRule="auto"/>
        <w:jc w:val="center"/>
        <w:rPr>
          <w:rFonts w:ascii="Times New Roman" w:hAnsi="Times New Roman"/>
          <w:b/>
          <w:bCs/>
          <w:sz w:val="24"/>
          <w:szCs w:val="24"/>
        </w:rPr>
      </w:pPr>
      <w:bookmarkStart w:id="0" w:name="_Hlk133435984"/>
      <w:r w:rsidRPr="001E6462">
        <w:rPr>
          <w:rFonts w:ascii="Times New Roman" w:hAnsi="Times New Roman"/>
          <w:b/>
          <w:bCs/>
          <w:sz w:val="24"/>
          <w:szCs w:val="24"/>
        </w:rPr>
        <w:t>NURS 6053 Week 9 Assignment</w:t>
      </w:r>
      <w:r w:rsidRPr="001E6462">
        <w:rPr>
          <w:rFonts w:ascii="Times New Roman" w:hAnsi="Times New Roman"/>
          <w:b/>
          <w:bCs/>
          <w:sz w:val="24"/>
          <w:szCs w:val="24"/>
        </w:rPr>
        <w:t xml:space="preserve">: </w:t>
      </w:r>
      <w:r w:rsidRPr="001E6462">
        <w:rPr>
          <w:rFonts w:ascii="Times New Roman" w:hAnsi="Times New Roman"/>
          <w:b/>
          <w:bCs/>
          <w:sz w:val="24"/>
          <w:szCs w:val="24"/>
        </w:rPr>
        <w:t>Workplace Environment Assessment</w:t>
      </w:r>
    </w:p>
    <w:bookmarkEnd w:id="0"/>
    <w:p w14:paraId="20D3DD72" w14:textId="77777777" w:rsidR="001176C2" w:rsidRPr="00F135F1" w:rsidRDefault="001176C2" w:rsidP="00F135F1">
      <w:pPr>
        <w:spacing w:after="0" w:line="480" w:lineRule="auto"/>
        <w:jc w:val="center"/>
        <w:rPr>
          <w:rFonts w:ascii="Times New Roman" w:hAnsi="Times New Roman"/>
          <w:sz w:val="24"/>
          <w:szCs w:val="24"/>
        </w:rPr>
      </w:pPr>
    </w:p>
    <w:p w14:paraId="7AE32871" w14:textId="77777777" w:rsidR="001176C2" w:rsidRPr="00F135F1" w:rsidRDefault="00C15491" w:rsidP="00F135F1">
      <w:pPr>
        <w:spacing w:after="0" w:line="480" w:lineRule="auto"/>
        <w:jc w:val="center"/>
        <w:rPr>
          <w:rFonts w:ascii="Times New Roman" w:hAnsi="Times New Roman"/>
          <w:sz w:val="24"/>
          <w:szCs w:val="24"/>
        </w:rPr>
      </w:pPr>
      <w:r w:rsidRPr="00F135F1">
        <w:rPr>
          <w:rFonts w:ascii="Times New Roman" w:hAnsi="Times New Roman"/>
          <w:sz w:val="24"/>
          <w:szCs w:val="24"/>
        </w:rPr>
        <w:t>Student Full Name</w:t>
      </w:r>
    </w:p>
    <w:p w14:paraId="77936292" w14:textId="77777777" w:rsidR="001176C2" w:rsidRPr="00F135F1" w:rsidRDefault="00C15491" w:rsidP="00F135F1">
      <w:pPr>
        <w:spacing w:after="0" w:line="480" w:lineRule="auto"/>
        <w:jc w:val="center"/>
        <w:rPr>
          <w:rFonts w:ascii="Times New Roman" w:hAnsi="Times New Roman"/>
          <w:sz w:val="24"/>
          <w:szCs w:val="24"/>
        </w:rPr>
      </w:pPr>
      <w:r w:rsidRPr="00F135F1">
        <w:rPr>
          <w:rFonts w:ascii="Times New Roman" w:hAnsi="Times New Roman"/>
          <w:sz w:val="24"/>
          <w:szCs w:val="24"/>
        </w:rPr>
        <w:t>Institution Affiliation</w:t>
      </w:r>
    </w:p>
    <w:p w14:paraId="6C396E0D" w14:textId="77777777" w:rsidR="001176C2" w:rsidRPr="00F135F1" w:rsidRDefault="00C15491" w:rsidP="00F135F1">
      <w:pPr>
        <w:spacing w:after="0" w:line="480" w:lineRule="auto"/>
        <w:jc w:val="center"/>
        <w:rPr>
          <w:rFonts w:ascii="Times New Roman" w:hAnsi="Times New Roman"/>
          <w:sz w:val="24"/>
          <w:szCs w:val="24"/>
        </w:rPr>
      </w:pPr>
      <w:r w:rsidRPr="00F135F1">
        <w:rPr>
          <w:rFonts w:ascii="Times New Roman" w:hAnsi="Times New Roman"/>
          <w:sz w:val="24"/>
          <w:szCs w:val="24"/>
        </w:rPr>
        <w:t>Course Full Title</w:t>
      </w:r>
    </w:p>
    <w:p w14:paraId="723FE207" w14:textId="77777777" w:rsidR="001176C2" w:rsidRPr="00F135F1" w:rsidRDefault="00C15491" w:rsidP="00F135F1">
      <w:pPr>
        <w:spacing w:after="0" w:line="480" w:lineRule="auto"/>
        <w:jc w:val="center"/>
        <w:rPr>
          <w:rFonts w:ascii="Times New Roman" w:hAnsi="Times New Roman"/>
          <w:sz w:val="24"/>
          <w:szCs w:val="24"/>
        </w:rPr>
      </w:pPr>
      <w:r w:rsidRPr="00F135F1">
        <w:rPr>
          <w:rFonts w:ascii="Times New Roman" w:hAnsi="Times New Roman"/>
          <w:sz w:val="24"/>
          <w:szCs w:val="24"/>
        </w:rPr>
        <w:t>Instructor Full Name</w:t>
      </w:r>
    </w:p>
    <w:p w14:paraId="17CF29BF" w14:textId="77777777" w:rsidR="001176C2" w:rsidRPr="00F135F1" w:rsidRDefault="00C15491" w:rsidP="00F135F1">
      <w:pPr>
        <w:spacing w:after="0" w:line="480" w:lineRule="auto"/>
        <w:jc w:val="center"/>
        <w:rPr>
          <w:rFonts w:ascii="Times New Roman" w:hAnsi="Times New Roman"/>
          <w:sz w:val="24"/>
          <w:szCs w:val="24"/>
        </w:rPr>
      </w:pPr>
      <w:r w:rsidRPr="00F135F1">
        <w:rPr>
          <w:rFonts w:ascii="Times New Roman" w:hAnsi="Times New Roman"/>
          <w:sz w:val="24"/>
          <w:szCs w:val="24"/>
        </w:rPr>
        <w:t xml:space="preserve">Due Date </w:t>
      </w:r>
    </w:p>
    <w:p w14:paraId="018139F7" w14:textId="77777777" w:rsidR="001176C2" w:rsidRPr="00F135F1" w:rsidRDefault="001176C2" w:rsidP="00F135F1">
      <w:pPr>
        <w:spacing w:after="0" w:line="480" w:lineRule="auto"/>
        <w:jc w:val="center"/>
        <w:rPr>
          <w:rFonts w:ascii="Times New Roman" w:hAnsi="Times New Roman"/>
          <w:sz w:val="24"/>
          <w:szCs w:val="24"/>
        </w:rPr>
      </w:pPr>
    </w:p>
    <w:p w14:paraId="55996756" w14:textId="77777777" w:rsidR="001176C2" w:rsidRPr="00F135F1" w:rsidRDefault="001176C2" w:rsidP="00F135F1">
      <w:pPr>
        <w:spacing w:after="0" w:line="480" w:lineRule="auto"/>
        <w:jc w:val="center"/>
        <w:rPr>
          <w:rFonts w:ascii="Times New Roman" w:hAnsi="Times New Roman"/>
          <w:sz w:val="24"/>
          <w:szCs w:val="24"/>
        </w:rPr>
      </w:pPr>
    </w:p>
    <w:p w14:paraId="791E2754" w14:textId="77777777" w:rsidR="001176C2" w:rsidRPr="00F135F1" w:rsidRDefault="001176C2" w:rsidP="00F135F1">
      <w:pPr>
        <w:spacing w:after="0" w:line="480" w:lineRule="auto"/>
        <w:jc w:val="center"/>
        <w:rPr>
          <w:rFonts w:ascii="Times New Roman" w:hAnsi="Times New Roman"/>
          <w:sz w:val="24"/>
          <w:szCs w:val="24"/>
        </w:rPr>
      </w:pPr>
    </w:p>
    <w:p w14:paraId="14D7CC10" w14:textId="77777777" w:rsidR="001176C2" w:rsidRPr="00F135F1" w:rsidRDefault="001176C2" w:rsidP="00F135F1">
      <w:pPr>
        <w:spacing w:after="0" w:line="480" w:lineRule="auto"/>
        <w:jc w:val="center"/>
        <w:rPr>
          <w:rFonts w:ascii="Times New Roman" w:hAnsi="Times New Roman"/>
          <w:sz w:val="24"/>
          <w:szCs w:val="24"/>
        </w:rPr>
      </w:pPr>
    </w:p>
    <w:p w14:paraId="35BC2FBF" w14:textId="77777777" w:rsidR="001176C2" w:rsidRPr="00F135F1" w:rsidRDefault="001176C2" w:rsidP="00F135F1">
      <w:pPr>
        <w:spacing w:after="0" w:line="480" w:lineRule="auto"/>
        <w:jc w:val="center"/>
        <w:rPr>
          <w:rFonts w:ascii="Times New Roman" w:hAnsi="Times New Roman"/>
          <w:sz w:val="24"/>
          <w:szCs w:val="24"/>
        </w:rPr>
      </w:pPr>
    </w:p>
    <w:p w14:paraId="0F807321" w14:textId="77777777" w:rsidR="001176C2" w:rsidRPr="00F135F1" w:rsidRDefault="001176C2" w:rsidP="00F135F1">
      <w:pPr>
        <w:spacing w:after="0" w:line="480" w:lineRule="auto"/>
        <w:jc w:val="center"/>
        <w:rPr>
          <w:rFonts w:ascii="Times New Roman" w:hAnsi="Times New Roman"/>
          <w:sz w:val="24"/>
          <w:szCs w:val="24"/>
        </w:rPr>
      </w:pPr>
    </w:p>
    <w:p w14:paraId="4DCD6A11" w14:textId="77777777" w:rsidR="001176C2" w:rsidRPr="00F135F1" w:rsidRDefault="001176C2" w:rsidP="00F135F1">
      <w:pPr>
        <w:spacing w:after="0" w:line="480" w:lineRule="auto"/>
        <w:jc w:val="center"/>
        <w:rPr>
          <w:rFonts w:ascii="Times New Roman" w:hAnsi="Times New Roman"/>
          <w:sz w:val="24"/>
          <w:szCs w:val="24"/>
        </w:rPr>
      </w:pPr>
    </w:p>
    <w:p w14:paraId="5C6AE70A" w14:textId="77777777" w:rsidR="001176C2" w:rsidRPr="00F135F1" w:rsidRDefault="001176C2" w:rsidP="00F135F1">
      <w:pPr>
        <w:spacing w:after="0" w:line="480" w:lineRule="auto"/>
        <w:jc w:val="center"/>
        <w:rPr>
          <w:rFonts w:ascii="Times New Roman" w:hAnsi="Times New Roman"/>
          <w:sz w:val="24"/>
          <w:szCs w:val="24"/>
        </w:rPr>
      </w:pPr>
    </w:p>
    <w:p w14:paraId="0C2E54CF" w14:textId="77777777" w:rsidR="001176C2" w:rsidRPr="00F135F1" w:rsidRDefault="001176C2" w:rsidP="00F135F1">
      <w:pPr>
        <w:spacing w:after="0" w:line="480" w:lineRule="auto"/>
        <w:jc w:val="center"/>
        <w:rPr>
          <w:rFonts w:ascii="Times New Roman" w:hAnsi="Times New Roman"/>
          <w:sz w:val="24"/>
          <w:szCs w:val="24"/>
        </w:rPr>
      </w:pPr>
    </w:p>
    <w:p w14:paraId="68784B6F" w14:textId="77777777" w:rsidR="001176C2" w:rsidRPr="00F135F1" w:rsidRDefault="001176C2" w:rsidP="00F135F1">
      <w:pPr>
        <w:spacing w:after="0" w:line="480" w:lineRule="auto"/>
        <w:jc w:val="center"/>
        <w:rPr>
          <w:rFonts w:ascii="Times New Roman" w:hAnsi="Times New Roman"/>
          <w:sz w:val="24"/>
          <w:szCs w:val="24"/>
        </w:rPr>
      </w:pPr>
    </w:p>
    <w:p w14:paraId="4A52AD36" w14:textId="347E3AED" w:rsidR="008634F9" w:rsidRDefault="008634F9" w:rsidP="00F135F1">
      <w:pPr>
        <w:spacing w:after="0" w:line="480" w:lineRule="auto"/>
        <w:rPr>
          <w:rFonts w:ascii="Times New Roman" w:hAnsi="Times New Roman"/>
          <w:sz w:val="24"/>
          <w:szCs w:val="24"/>
        </w:rPr>
      </w:pPr>
    </w:p>
    <w:p w14:paraId="69A7752E" w14:textId="77777777" w:rsidR="00F135F1" w:rsidRPr="00F135F1" w:rsidRDefault="00F135F1" w:rsidP="00F135F1">
      <w:pPr>
        <w:spacing w:after="0" w:line="480" w:lineRule="auto"/>
        <w:rPr>
          <w:rFonts w:ascii="Times New Roman" w:hAnsi="Times New Roman"/>
          <w:sz w:val="24"/>
          <w:szCs w:val="24"/>
        </w:rPr>
      </w:pPr>
    </w:p>
    <w:p w14:paraId="5D5672FF" w14:textId="77777777" w:rsidR="001E6462" w:rsidRDefault="001E6462" w:rsidP="00F135F1">
      <w:pPr>
        <w:spacing w:after="0" w:line="480" w:lineRule="auto"/>
        <w:jc w:val="center"/>
        <w:rPr>
          <w:rFonts w:ascii="Times New Roman" w:hAnsi="Times New Roman"/>
          <w:b/>
          <w:bCs/>
          <w:sz w:val="24"/>
          <w:szCs w:val="24"/>
        </w:rPr>
      </w:pPr>
    </w:p>
    <w:p w14:paraId="797C116B" w14:textId="77777777" w:rsidR="001E6462" w:rsidRPr="001E6462" w:rsidRDefault="001E6462" w:rsidP="001E6462">
      <w:pPr>
        <w:spacing w:after="0" w:line="480" w:lineRule="auto"/>
        <w:jc w:val="center"/>
        <w:rPr>
          <w:rFonts w:ascii="Times New Roman" w:hAnsi="Times New Roman"/>
          <w:b/>
          <w:bCs/>
          <w:sz w:val="24"/>
          <w:szCs w:val="24"/>
        </w:rPr>
      </w:pPr>
      <w:r w:rsidRPr="001E6462">
        <w:rPr>
          <w:rFonts w:ascii="Times New Roman" w:hAnsi="Times New Roman"/>
          <w:b/>
          <w:bCs/>
          <w:sz w:val="24"/>
          <w:szCs w:val="24"/>
        </w:rPr>
        <w:lastRenderedPageBreak/>
        <w:t>NURS 6053 Week 9 Assignment: Workplace Environment Assessment</w:t>
      </w:r>
    </w:p>
    <w:p w14:paraId="783E4AEC" w14:textId="2618C2E3"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Workplace incivility is </w:t>
      </w:r>
      <w:r w:rsidR="008634F9" w:rsidRPr="00F135F1">
        <w:rPr>
          <w:rFonts w:ascii="Times New Roman" w:hAnsi="Times New Roman"/>
          <w:sz w:val="24"/>
          <w:szCs w:val="24"/>
        </w:rPr>
        <w:t xml:space="preserve">an </w:t>
      </w:r>
      <w:r w:rsidRPr="00F135F1">
        <w:rPr>
          <w:rFonts w:ascii="Times New Roman" w:hAnsi="Times New Roman"/>
          <w:sz w:val="24"/>
          <w:szCs w:val="24"/>
        </w:rPr>
        <w:t xml:space="preserve">issue that </w:t>
      </w:r>
      <w:r w:rsidR="008634F9" w:rsidRPr="00F135F1">
        <w:rPr>
          <w:rFonts w:ascii="Times New Roman" w:hAnsi="Times New Roman"/>
          <w:sz w:val="24"/>
          <w:szCs w:val="24"/>
        </w:rPr>
        <w:t>compromises</w:t>
      </w:r>
      <w:r w:rsidRPr="00F135F1">
        <w:rPr>
          <w:rFonts w:ascii="Times New Roman" w:hAnsi="Times New Roman"/>
          <w:sz w:val="24"/>
          <w:szCs w:val="24"/>
        </w:rPr>
        <w:t xml:space="preserve"> employees' performance and </w:t>
      </w:r>
      <w:r w:rsidR="008634F9" w:rsidRPr="00F135F1">
        <w:rPr>
          <w:rFonts w:ascii="Times New Roman" w:hAnsi="Times New Roman"/>
          <w:sz w:val="24"/>
          <w:szCs w:val="24"/>
        </w:rPr>
        <w:t>jeopardizes</w:t>
      </w:r>
      <w:r w:rsidRPr="00F135F1">
        <w:rPr>
          <w:rFonts w:ascii="Times New Roman" w:hAnsi="Times New Roman"/>
          <w:sz w:val="24"/>
          <w:szCs w:val="24"/>
        </w:rPr>
        <w:t xml:space="preserve"> team cohesion. Zhang et al. (2018) define workplace incivility as "rude, discourteous, belittling, and insulting behavior" (p. 1). Amidst diversities in employees' demographic, skill, and competency aspects, incivility can permeate an entire work environment, resulting </w:t>
      </w:r>
      <w:r w:rsidR="008634F9" w:rsidRPr="00F135F1">
        <w:rPr>
          <w:rFonts w:ascii="Times New Roman" w:hAnsi="Times New Roman"/>
          <w:sz w:val="24"/>
          <w:szCs w:val="24"/>
        </w:rPr>
        <w:t>in</w:t>
      </w:r>
      <w:r w:rsidRPr="00F135F1">
        <w:rPr>
          <w:rFonts w:ascii="Times New Roman" w:hAnsi="Times New Roman"/>
          <w:sz w:val="24"/>
          <w:szCs w:val="24"/>
        </w:rPr>
        <w:t xml:space="preserve"> adverse consequences, including job dissatisfaction, depression, mental workload, and ineffective team performance (Zhang et al., 2018). Healthcare institutions should embrace mechanisms for identifying the underlying causes of uncivil behaviors such as bullying, structural discrimination, </w:t>
      </w:r>
      <w:r w:rsidR="008634F9" w:rsidRPr="00F135F1">
        <w:rPr>
          <w:rFonts w:ascii="Times New Roman" w:hAnsi="Times New Roman"/>
          <w:sz w:val="24"/>
          <w:szCs w:val="24"/>
        </w:rPr>
        <w:t>discourteousness</w:t>
      </w:r>
      <w:r w:rsidRPr="00F135F1">
        <w:rPr>
          <w:rFonts w:ascii="Times New Roman" w:hAnsi="Times New Roman"/>
          <w:sz w:val="24"/>
          <w:szCs w:val="24"/>
        </w:rPr>
        <w:t xml:space="preserve">, and a lack of </w:t>
      </w:r>
      <w:r w:rsidR="008634F9" w:rsidRPr="00F135F1">
        <w:rPr>
          <w:rFonts w:ascii="Times New Roman" w:hAnsi="Times New Roman"/>
          <w:sz w:val="24"/>
          <w:szCs w:val="24"/>
        </w:rPr>
        <w:t>regard</w:t>
      </w:r>
      <w:r w:rsidRPr="00F135F1">
        <w:rPr>
          <w:rFonts w:ascii="Times New Roman" w:hAnsi="Times New Roman"/>
          <w:sz w:val="24"/>
          <w:szCs w:val="24"/>
        </w:rPr>
        <w:t xml:space="preserve"> for others. Therefore, workplace environment assessment emerges as a profound tool for analyzing internal and external factors for uncivil behaviors and actions, alongside informing evidence-based practices for creating a civil organizational culture. This paper elaborates on the results of my workplace's work environment assessment regarding civilit</w:t>
      </w:r>
      <w:r w:rsidR="008634F9" w:rsidRPr="00F135F1">
        <w:rPr>
          <w:rFonts w:ascii="Times New Roman" w:hAnsi="Times New Roman"/>
          <w:sz w:val="24"/>
          <w:szCs w:val="24"/>
        </w:rPr>
        <w:t>y</w:t>
      </w:r>
      <w:r w:rsidRPr="00F135F1">
        <w:rPr>
          <w:rFonts w:ascii="Times New Roman" w:hAnsi="Times New Roman"/>
          <w:sz w:val="24"/>
          <w:szCs w:val="24"/>
        </w:rPr>
        <w:t xml:space="preserve">. Further, it provides insights into a theory that relates to the results based on the current literature and evidence-based strategies to create high-performance interprofessional teams. </w:t>
      </w:r>
    </w:p>
    <w:p w14:paraId="08CD2EA2" w14:textId="77777777" w:rsidR="001176C2" w:rsidRPr="00F135F1" w:rsidRDefault="00C15491" w:rsidP="00F135F1">
      <w:pPr>
        <w:spacing w:after="0" w:line="480" w:lineRule="auto"/>
        <w:jc w:val="center"/>
        <w:rPr>
          <w:rFonts w:ascii="Times New Roman" w:hAnsi="Times New Roman"/>
          <w:b/>
          <w:bCs/>
          <w:sz w:val="24"/>
          <w:szCs w:val="24"/>
        </w:rPr>
      </w:pPr>
      <w:r w:rsidRPr="00F135F1">
        <w:rPr>
          <w:rFonts w:ascii="Times New Roman" w:hAnsi="Times New Roman"/>
          <w:b/>
          <w:bCs/>
          <w:sz w:val="24"/>
          <w:szCs w:val="24"/>
        </w:rPr>
        <w:t xml:space="preserve">Work Environment </w:t>
      </w:r>
    </w:p>
    <w:p w14:paraId="4282A9BC" w14:textId="6A877786"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The </w:t>
      </w:r>
      <w:r w:rsidR="008634F9" w:rsidRPr="00F135F1">
        <w:rPr>
          <w:rFonts w:ascii="Times New Roman" w:hAnsi="Times New Roman"/>
          <w:sz w:val="24"/>
          <w:szCs w:val="24"/>
        </w:rPr>
        <w:t xml:space="preserve">20 healthy inventory items </w:t>
      </w:r>
      <w:r w:rsidR="00C136C9">
        <w:rPr>
          <w:rFonts w:ascii="Times New Roman" w:hAnsi="Times New Roman"/>
          <w:sz w:val="24"/>
          <w:szCs w:val="24"/>
        </w:rPr>
        <w:t xml:space="preserve">Clark (2015) developed </w:t>
      </w:r>
      <w:r w:rsidR="008634F9" w:rsidRPr="00F135F1">
        <w:rPr>
          <w:rFonts w:ascii="Times New Roman" w:hAnsi="Times New Roman"/>
          <w:sz w:val="24"/>
          <w:szCs w:val="24"/>
        </w:rPr>
        <w:t>were the workplace environment assessment criteria</w:t>
      </w:r>
      <w:r w:rsidRPr="00F135F1">
        <w:rPr>
          <w:rFonts w:ascii="Times New Roman" w:hAnsi="Times New Roman"/>
          <w:sz w:val="24"/>
          <w:szCs w:val="24"/>
        </w:rPr>
        <w:t xml:space="preserve">. The major themes for these healthy workplace inventory items include a shared vision, </w:t>
      </w:r>
      <w:r w:rsidR="00C136C9">
        <w:rPr>
          <w:rFonts w:ascii="Times New Roman" w:hAnsi="Times New Roman"/>
          <w:sz w:val="24"/>
          <w:szCs w:val="24"/>
        </w:rPr>
        <w:t xml:space="preserve">a </w:t>
      </w:r>
      <w:r w:rsidRPr="00F135F1">
        <w:rPr>
          <w:rFonts w:ascii="Times New Roman" w:hAnsi="Times New Roman"/>
          <w:sz w:val="24"/>
          <w:szCs w:val="24"/>
        </w:rPr>
        <w:t xml:space="preserve">clear and discernible level of trust among formal leadership and followers, communication effectiveness, a culture of valuing employees, celebrating and recognizing </w:t>
      </w:r>
      <w:r w:rsidR="008634F9" w:rsidRPr="00F135F1">
        <w:rPr>
          <w:rFonts w:ascii="Times New Roman" w:hAnsi="Times New Roman"/>
          <w:sz w:val="24"/>
          <w:szCs w:val="24"/>
        </w:rPr>
        <w:t>individual</w:t>
      </w:r>
      <w:r w:rsidRPr="00F135F1">
        <w:rPr>
          <w:rFonts w:ascii="Times New Roman" w:hAnsi="Times New Roman"/>
          <w:sz w:val="24"/>
          <w:szCs w:val="24"/>
        </w:rPr>
        <w:t xml:space="preserve"> and collective achievements, teamwork, and resources for personal development. Also, workload distribution, conflict resolution mechanisms, expression of diverse ideas and perspectives, compensation and rewarding systems, and talent retention approaches formed the </w:t>
      </w:r>
      <w:r w:rsidRPr="00F135F1">
        <w:rPr>
          <w:rFonts w:ascii="Times New Roman" w:hAnsi="Times New Roman"/>
          <w:sz w:val="24"/>
          <w:szCs w:val="24"/>
        </w:rPr>
        <w:lastRenderedPageBreak/>
        <w:t xml:space="preserve">basis of the workplace environment assessment endeavor. Clark (2015) assigned each item 1-5 scores based </w:t>
      </w:r>
      <w:r w:rsidR="008634F9" w:rsidRPr="00F135F1">
        <w:rPr>
          <w:rFonts w:ascii="Times New Roman" w:hAnsi="Times New Roman"/>
          <w:sz w:val="24"/>
          <w:szCs w:val="24"/>
        </w:rPr>
        <w:t xml:space="preserve">on </w:t>
      </w:r>
      <w:r w:rsidRPr="00F135F1">
        <w:rPr>
          <w:rFonts w:ascii="Times New Roman" w:hAnsi="Times New Roman"/>
          <w:sz w:val="24"/>
          <w:szCs w:val="24"/>
        </w:rPr>
        <w:t xml:space="preserve">five response categories: </w:t>
      </w:r>
      <w:r w:rsidR="00F135F1" w:rsidRPr="00F135F1">
        <w:rPr>
          <w:rFonts w:ascii="Times New Roman" w:hAnsi="Times New Roman"/>
          <w:sz w:val="24"/>
          <w:szCs w:val="24"/>
        </w:rPr>
        <w:t>false</w:t>
      </w:r>
      <w:r w:rsidRPr="00F135F1">
        <w:rPr>
          <w:rFonts w:ascii="Times New Roman" w:hAnsi="Times New Roman"/>
          <w:sz w:val="24"/>
          <w:szCs w:val="24"/>
        </w:rPr>
        <w:t xml:space="preserve"> (1), somewhat untrue (2), neutral (3), somewhat true (4), and </w:t>
      </w:r>
      <w:r w:rsidR="008634F9" w:rsidRPr="00F135F1">
        <w:rPr>
          <w:rFonts w:ascii="Times New Roman" w:hAnsi="Times New Roman"/>
          <w:sz w:val="24"/>
          <w:szCs w:val="24"/>
        </w:rPr>
        <w:t>entirely</w:t>
      </w:r>
      <w:r w:rsidRPr="00F135F1">
        <w:rPr>
          <w:rFonts w:ascii="Times New Roman" w:hAnsi="Times New Roman"/>
          <w:sz w:val="24"/>
          <w:szCs w:val="24"/>
        </w:rPr>
        <w:t xml:space="preserve"> true (5). The highest score for indicating a very healthy workplace was 90 to 100, while ≤50 scores represented the other extreme (very unhealthy).</w:t>
      </w:r>
    </w:p>
    <w:p w14:paraId="29B66392" w14:textId="2E76F7A7"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Based </w:t>
      </w:r>
      <w:r w:rsidR="008634F9" w:rsidRPr="00F135F1">
        <w:rPr>
          <w:rFonts w:ascii="Times New Roman" w:hAnsi="Times New Roman"/>
          <w:sz w:val="24"/>
          <w:szCs w:val="24"/>
        </w:rPr>
        <w:t>on</w:t>
      </w:r>
      <w:r w:rsidRPr="00F135F1">
        <w:rPr>
          <w:rFonts w:ascii="Times New Roman" w:hAnsi="Times New Roman"/>
          <w:sz w:val="24"/>
          <w:szCs w:val="24"/>
        </w:rPr>
        <w:t xml:space="preserve"> the 20 inventory items, the overall civility score for my workplace was 72, which falls under the mildly healthy score range of 70 to 79 (Clark, 2015). During the workplace environment assessment practice, I was surprised by two aspects of my workplace: </w:t>
      </w:r>
      <w:r w:rsidR="008634F9" w:rsidRPr="00F135F1">
        <w:rPr>
          <w:rFonts w:ascii="Times New Roman" w:hAnsi="Times New Roman"/>
          <w:sz w:val="24"/>
          <w:szCs w:val="24"/>
        </w:rPr>
        <w:t>limited</w:t>
      </w:r>
      <w:r w:rsidRPr="00F135F1">
        <w:rPr>
          <w:rFonts w:ascii="Times New Roman" w:hAnsi="Times New Roman"/>
          <w:sz w:val="24"/>
          <w:szCs w:val="24"/>
        </w:rPr>
        <w:t xml:space="preserve"> workload distribution and a lack of competitive compensation and rewarding systems. Although the workplace scored high in a shared vision and mission, effective communication across all organizational levels, a culture of valuing employees as institutional assets, and proper mechanisms for addressing and resolving conflicts, an absence of a rewarding system and unmanageable workload affect individual and collective performance. Other items where the workplace scored fairly are </w:t>
      </w:r>
      <w:r w:rsidR="008634F9" w:rsidRPr="00F135F1">
        <w:rPr>
          <w:rFonts w:ascii="Times New Roman" w:hAnsi="Times New Roman"/>
          <w:sz w:val="24"/>
          <w:szCs w:val="24"/>
        </w:rPr>
        <w:t>employees’ fair and respectful treatment</w:t>
      </w:r>
      <w:r w:rsidRPr="00F135F1">
        <w:rPr>
          <w:rFonts w:ascii="Times New Roman" w:hAnsi="Times New Roman"/>
          <w:sz w:val="24"/>
          <w:szCs w:val="24"/>
        </w:rPr>
        <w:t xml:space="preserve">, shared governance and consensus decision-making, employee satisfaction and engagement, and emphasis on employee wellness and self-care. Notably, these aspects represent areas for improvement. </w:t>
      </w:r>
    </w:p>
    <w:p w14:paraId="55169C73" w14:textId="1CE5CF10"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The </w:t>
      </w:r>
      <w:r w:rsidR="008634F9" w:rsidRPr="00F135F1">
        <w:rPr>
          <w:rFonts w:ascii="Times New Roman" w:hAnsi="Times New Roman"/>
          <w:sz w:val="24"/>
          <w:szCs w:val="24"/>
        </w:rPr>
        <w:t>environment assessment results indicate</w:t>
      </w:r>
      <w:r w:rsidRPr="00F135F1">
        <w:rPr>
          <w:rFonts w:ascii="Times New Roman" w:hAnsi="Times New Roman"/>
          <w:sz w:val="24"/>
          <w:szCs w:val="24"/>
        </w:rPr>
        <w:t xml:space="preserve"> that the workplace is </w:t>
      </w:r>
      <w:r w:rsidR="008634F9" w:rsidRPr="00F135F1">
        <w:rPr>
          <w:rFonts w:ascii="Times New Roman" w:hAnsi="Times New Roman"/>
          <w:sz w:val="24"/>
          <w:szCs w:val="24"/>
        </w:rPr>
        <w:t>mildly</w:t>
      </w:r>
      <w:r w:rsidRPr="00F135F1">
        <w:rPr>
          <w:rFonts w:ascii="Times New Roman" w:hAnsi="Times New Roman"/>
          <w:sz w:val="24"/>
          <w:szCs w:val="24"/>
        </w:rPr>
        <w:t xml:space="preserve"> healthy due to various unattended areas, including increased workload and an absence of effective mechanisms for recognizing individual and team efforts. According to Kokotoko &amp; Sanda (2019), workload contributes to job stress by exposing healthcare professionals to work interruptions, decisional uncertainties, and intense time pressure. Eventually, these factors contribute to medication errors, job dissatisfaction, </w:t>
      </w:r>
      <w:r w:rsidR="00F135F1" w:rsidRPr="00F135F1">
        <w:rPr>
          <w:rFonts w:ascii="Times New Roman" w:hAnsi="Times New Roman"/>
          <w:sz w:val="24"/>
          <w:szCs w:val="24"/>
        </w:rPr>
        <w:t>anxiety</w:t>
      </w:r>
      <w:r w:rsidRPr="00F135F1">
        <w:rPr>
          <w:rFonts w:ascii="Times New Roman" w:hAnsi="Times New Roman"/>
          <w:sz w:val="24"/>
          <w:szCs w:val="24"/>
        </w:rPr>
        <w:t xml:space="preserve">, and intentions to quit. </w:t>
      </w:r>
      <w:r w:rsidR="00F135F1" w:rsidRPr="00F135F1">
        <w:rPr>
          <w:rFonts w:ascii="Times New Roman" w:hAnsi="Times New Roman"/>
          <w:sz w:val="24"/>
          <w:szCs w:val="24"/>
        </w:rPr>
        <w:t>Similarly</w:t>
      </w:r>
      <w:r w:rsidRPr="00F135F1">
        <w:rPr>
          <w:rFonts w:ascii="Times New Roman" w:hAnsi="Times New Roman"/>
          <w:sz w:val="24"/>
          <w:szCs w:val="24"/>
        </w:rPr>
        <w:t>, rewarding systems ca</w:t>
      </w:r>
      <w:r w:rsidR="00F135F1" w:rsidRPr="00F135F1">
        <w:rPr>
          <w:rFonts w:ascii="Times New Roman" w:hAnsi="Times New Roman"/>
          <w:sz w:val="24"/>
          <w:szCs w:val="24"/>
        </w:rPr>
        <w:t>n</w:t>
      </w:r>
      <w:r w:rsidRPr="00F135F1">
        <w:rPr>
          <w:rFonts w:ascii="Times New Roman" w:hAnsi="Times New Roman"/>
          <w:sz w:val="24"/>
          <w:szCs w:val="24"/>
        </w:rPr>
        <w:t xml:space="preserve"> retain and motivate employees to improve their performance and achieve the desired outcomes (Manzoor et al., 2021). Therefore, the absence of strategies for recognizing and appreciating individual and </w:t>
      </w:r>
      <w:r w:rsidRPr="00F135F1">
        <w:rPr>
          <w:rFonts w:ascii="Times New Roman" w:hAnsi="Times New Roman"/>
          <w:sz w:val="24"/>
          <w:szCs w:val="24"/>
        </w:rPr>
        <w:lastRenderedPageBreak/>
        <w:t xml:space="preserve">collective efforts can lead to dissatisfaction, unwillingness to advance </w:t>
      </w:r>
      <w:r w:rsidR="00F135F1" w:rsidRPr="00F135F1">
        <w:rPr>
          <w:rFonts w:ascii="Times New Roman" w:hAnsi="Times New Roman"/>
          <w:sz w:val="24"/>
          <w:szCs w:val="24"/>
        </w:rPr>
        <w:t>personal</w:t>
      </w:r>
      <w:r w:rsidRPr="00F135F1">
        <w:rPr>
          <w:rFonts w:ascii="Times New Roman" w:hAnsi="Times New Roman"/>
          <w:sz w:val="24"/>
          <w:szCs w:val="24"/>
        </w:rPr>
        <w:t xml:space="preserve"> skills and knowledge, and poor performance. </w:t>
      </w:r>
    </w:p>
    <w:p w14:paraId="5F7CBB65" w14:textId="77777777" w:rsidR="001176C2" w:rsidRPr="00F135F1" w:rsidRDefault="00C15491" w:rsidP="00F135F1">
      <w:pPr>
        <w:spacing w:after="0" w:line="480" w:lineRule="auto"/>
        <w:jc w:val="center"/>
        <w:rPr>
          <w:rFonts w:ascii="Times New Roman" w:hAnsi="Times New Roman"/>
          <w:b/>
          <w:bCs/>
          <w:sz w:val="24"/>
          <w:szCs w:val="24"/>
        </w:rPr>
      </w:pPr>
      <w:r w:rsidRPr="00F135F1">
        <w:rPr>
          <w:rFonts w:ascii="Times New Roman" w:hAnsi="Times New Roman"/>
          <w:b/>
          <w:bCs/>
          <w:sz w:val="24"/>
          <w:szCs w:val="24"/>
        </w:rPr>
        <w:t>Literature Review</w:t>
      </w:r>
    </w:p>
    <w:p w14:paraId="4F2E06CE" w14:textId="3D089704"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The current literature presents workplace incivility as a negative indicator of poor workplace culture and performance. In a scholarly article by Bambi et al. (2017), the researchers define incivility as "a </w:t>
      </w:r>
      <w:r w:rsidR="00F135F1" w:rsidRPr="00F135F1">
        <w:rPr>
          <w:rFonts w:ascii="Times New Roman" w:hAnsi="Times New Roman"/>
          <w:sz w:val="24"/>
          <w:szCs w:val="24"/>
        </w:rPr>
        <w:t>low-intensity</w:t>
      </w:r>
      <w:r w:rsidRPr="00F135F1">
        <w:rPr>
          <w:rFonts w:ascii="Times New Roman" w:hAnsi="Times New Roman"/>
          <w:sz w:val="24"/>
          <w:szCs w:val="24"/>
        </w:rPr>
        <w:t xml:space="preserve"> deviant behavior with the ambiguous intent to damage the target, breaking the norm of mutual respect in the workplace" (p. 39). The most common forms of uncivil behaviors and acts in healthcare contexts are lateral violence, harassment, bullying, and structural discrimination based on gender, sexual, racial, and disability differences (Bambi et al., 2017). The consequences of these behaviors and acts are detrimental to employees' well-being, coping capacities, and organizational performance. According to Zhang et al. (2018), workplace incivility </w:t>
      </w:r>
      <w:r w:rsidR="00F135F1" w:rsidRPr="00F135F1">
        <w:rPr>
          <w:rFonts w:ascii="Times New Roman" w:hAnsi="Times New Roman"/>
          <w:sz w:val="24"/>
          <w:szCs w:val="24"/>
        </w:rPr>
        <w:t>has</w:t>
      </w:r>
      <w:r w:rsidRPr="00F135F1">
        <w:rPr>
          <w:rFonts w:ascii="Times New Roman" w:hAnsi="Times New Roman"/>
          <w:sz w:val="24"/>
          <w:szCs w:val="24"/>
        </w:rPr>
        <w:t xml:space="preserve"> </w:t>
      </w:r>
      <w:r w:rsidR="00F135F1" w:rsidRPr="00F135F1">
        <w:rPr>
          <w:rFonts w:ascii="Times New Roman" w:hAnsi="Times New Roman"/>
          <w:sz w:val="24"/>
          <w:szCs w:val="24"/>
        </w:rPr>
        <w:t>adverse</w:t>
      </w:r>
      <w:r w:rsidRPr="00F135F1">
        <w:rPr>
          <w:rFonts w:ascii="Times New Roman" w:hAnsi="Times New Roman"/>
          <w:sz w:val="24"/>
          <w:szCs w:val="24"/>
        </w:rPr>
        <w:t xml:space="preserve"> ramifications, including effects on employees' mental health, negative emotions</w:t>
      </w:r>
      <w:r w:rsidR="00F135F1" w:rsidRPr="00F135F1">
        <w:rPr>
          <w:rFonts w:ascii="Times New Roman" w:hAnsi="Times New Roman"/>
          <w:sz w:val="24"/>
          <w:szCs w:val="24"/>
        </w:rPr>
        <w:t>,</w:t>
      </w:r>
      <w:r w:rsidRPr="00F135F1">
        <w:rPr>
          <w:rFonts w:ascii="Times New Roman" w:hAnsi="Times New Roman"/>
          <w:sz w:val="24"/>
          <w:szCs w:val="24"/>
        </w:rPr>
        <w:t xml:space="preserve"> and perceptions toward work, depression, anxiety, fatigue, and </w:t>
      </w:r>
      <w:r w:rsidR="00F135F1" w:rsidRPr="00F135F1">
        <w:rPr>
          <w:rFonts w:ascii="Times New Roman" w:hAnsi="Times New Roman"/>
          <w:sz w:val="24"/>
          <w:szCs w:val="24"/>
        </w:rPr>
        <w:t>declining</w:t>
      </w:r>
      <w:r w:rsidRPr="00F135F1">
        <w:rPr>
          <w:rFonts w:ascii="Times New Roman" w:hAnsi="Times New Roman"/>
          <w:sz w:val="24"/>
          <w:szCs w:val="24"/>
        </w:rPr>
        <w:t xml:space="preserve"> performance. Altogether, these consequences compound the problem of increased nurse turnover and intentions to quit professional responsibilities. </w:t>
      </w:r>
    </w:p>
    <w:p w14:paraId="33C7E301" w14:textId="5B1152E2"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Building employees' coping capacities is </w:t>
      </w:r>
      <w:r w:rsidR="00F135F1" w:rsidRPr="00F135F1">
        <w:rPr>
          <w:rFonts w:ascii="Times New Roman" w:hAnsi="Times New Roman"/>
          <w:sz w:val="24"/>
          <w:szCs w:val="24"/>
        </w:rPr>
        <w:t xml:space="preserve">essential </w:t>
      </w:r>
      <w:r w:rsidRPr="00F135F1">
        <w:rPr>
          <w:rFonts w:ascii="Times New Roman" w:hAnsi="Times New Roman"/>
          <w:sz w:val="24"/>
          <w:szCs w:val="24"/>
        </w:rPr>
        <w:t xml:space="preserve">for averting the effects of uncivil behaviors and acts. In this sense, </w:t>
      </w:r>
      <w:r w:rsidR="00F135F1" w:rsidRPr="00F135F1">
        <w:rPr>
          <w:rFonts w:ascii="Times New Roman" w:hAnsi="Times New Roman"/>
          <w:sz w:val="24"/>
          <w:szCs w:val="24"/>
        </w:rPr>
        <w:t>it</w:t>
      </w:r>
      <w:r w:rsidRPr="00F135F1">
        <w:rPr>
          <w:rFonts w:ascii="Times New Roman" w:hAnsi="Times New Roman"/>
          <w:sz w:val="24"/>
          <w:szCs w:val="24"/>
        </w:rPr>
        <w:t xml:space="preserve"> is possible to understand the interactions between individuals and stressors by </w:t>
      </w:r>
      <w:r w:rsidR="00F135F1" w:rsidRPr="00F135F1">
        <w:rPr>
          <w:rFonts w:ascii="Times New Roman" w:hAnsi="Times New Roman"/>
          <w:sz w:val="24"/>
          <w:szCs w:val="24"/>
        </w:rPr>
        <w:t>obtaining</w:t>
      </w:r>
      <w:r w:rsidRPr="00F135F1">
        <w:rPr>
          <w:rFonts w:ascii="Times New Roman" w:hAnsi="Times New Roman"/>
          <w:sz w:val="24"/>
          <w:szCs w:val="24"/>
        </w:rPr>
        <w:t xml:space="preserve"> insights from the transaction theory of stress and coping by Lazarus and Folkman (1987). According to Landy et al. (2022), this theory explains how people interact with their environment when faced with stressors. The subsequent interactions are dynamic and bidirectional and can trigger two broad categories of coping: primary and secondary appraisals. Under the primary appraisal, individuals evaluate stressors' characteristics such as centrality, threat, and uncontrollability, enabling people to define and shape their meaning of stress and </w:t>
      </w:r>
      <w:r w:rsidRPr="00F135F1">
        <w:rPr>
          <w:rFonts w:ascii="Times New Roman" w:hAnsi="Times New Roman"/>
          <w:sz w:val="24"/>
          <w:szCs w:val="24"/>
        </w:rPr>
        <w:lastRenderedPageBreak/>
        <w:t xml:space="preserve">regulate impacts on psychosocial functioning (Landy </w:t>
      </w:r>
      <w:r w:rsidR="00F135F1" w:rsidRPr="00F135F1">
        <w:rPr>
          <w:rFonts w:ascii="Times New Roman" w:hAnsi="Times New Roman"/>
          <w:sz w:val="24"/>
          <w:szCs w:val="24"/>
        </w:rPr>
        <w:t>et al.</w:t>
      </w:r>
      <w:r w:rsidRPr="00F135F1">
        <w:rPr>
          <w:rFonts w:ascii="Times New Roman" w:hAnsi="Times New Roman"/>
          <w:sz w:val="24"/>
          <w:szCs w:val="24"/>
        </w:rPr>
        <w:t>, 2022, p. 2). Secondly</w:t>
      </w:r>
      <w:r w:rsidR="00F135F1" w:rsidRPr="00F135F1">
        <w:rPr>
          <w:rFonts w:ascii="Times New Roman" w:hAnsi="Times New Roman"/>
          <w:sz w:val="24"/>
          <w:szCs w:val="24"/>
        </w:rPr>
        <w:t>,</w:t>
      </w:r>
      <w:r w:rsidRPr="00F135F1">
        <w:rPr>
          <w:rFonts w:ascii="Times New Roman" w:hAnsi="Times New Roman"/>
          <w:sz w:val="24"/>
          <w:szCs w:val="24"/>
        </w:rPr>
        <w:t xml:space="preserve"> appraisal entails evaluating the available coping options when faced with stressors (Obbarius et al., 2021). Further, it involves assessing whether individual actions can </w:t>
      </w:r>
      <w:r w:rsidR="00F135F1" w:rsidRPr="00F135F1">
        <w:rPr>
          <w:rFonts w:ascii="Times New Roman" w:hAnsi="Times New Roman"/>
          <w:sz w:val="24"/>
          <w:szCs w:val="24"/>
        </w:rPr>
        <w:t>alleviate</w:t>
      </w:r>
      <w:r w:rsidRPr="00F135F1">
        <w:rPr>
          <w:rFonts w:ascii="Times New Roman" w:hAnsi="Times New Roman"/>
          <w:sz w:val="24"/>
          <w:szCs w:val="24"/>
        </w:rPr>
        <w:t xml:space="preserve"> the stressors' impact by implementing problem-focused, emotion-focused coping, and coping resources. These processes result in the development of long-term stress coping capacity. </w:t>
      </w:r>
    </w:p>
    <w:p w14:paraId="165C72DC" w14:textId="77A5C1BD"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It is possible to capitalize on the primary and secondary appraisals to improve people's coping capacities by implementing various evidence-based practices. Clark (2018) proposes cognitive rehearsal as an evidence-based technique where people can address workplace incivility in a non-</w:t>
      </w:r>
      <w:r w:rsidR="00F135F1" w:rsidRPr="00F135F1">
        <w:rPr>
          <w:rFonts w:ascii="Times New Roman" w:hAnsi="Times New Roman"/>
          <w:sz w:val="24"/>
          <w:szCs w:val="24"/>
        </w:rPr>
        <w:t>threatening</w:t>
      </w:r>
      <w:r w:rsidRPr="00F135F1">
        <w:rPr>
          <w:rFonts w:ascii="Times New Roman" w:hAnsi="Times New Roman"/>
          <w:sz w:val="24"/>
          <w:szCs w:val="24"/>
        </w:rPr>
        <w:t xml:space="preserve"> environment by collaborating with skilled </w:t>
      </w:r>
      <w:r w:rsidR="00F135F1" w:rsidRPr="00F135F1">
        <w:rPr>
          <w:rFonts w:ascii="Times New Roman" w:hAnsi="Times New Roman"/>
          <w:sz w:val="24"/>
          <w:szCs w:val="24"/>
        </w:rPr>
        <w:t>facilitators</w:t>
      </w:r>
      <w:r w:rsidRPr="00F135F1">
        <w:rPr>
          <w:rFonts w:ascii="Times New Roman" w:hAnsi="Times New Roman"/>
          <w:sz w:val="24"/>
          <w:szCs w:val="24"/>
        </w:rPr>
        <w:t xml:space="preserve">. Also, the author contends that a contingency plan comprising simulation, evidence-based scripting, debriefing, and cognitive rehearsal can prepare people to cope and address uncivil encounters. Finally, Clark (2018) supports the plausibility of in-person didactic and rehearsal as approaches for strengthening individual coping capacity amidst exposure to uncivil behaviors. Eventually, these interventions can enhance job satisfaction, improve communication, and facilitate the cultivation of a civil culture. </w:t>
      </w:r>
    </w:p>
    <w:p w14:paraId="73AF1F0F" w14:textId="77777777" w:rsidR="001176C2" w:rsidRPr="00F135F1" w:rsidRDefault="00C15491" w:rsidP="00F135F1">
      <w:pPr>
        <w:spacing w:after="0" w:line="480" w:lineRule="auto"/>
        <w:jc w:val="center"/>
        <w:rPr>
          <w:rFonts w:ascii="Times New Roman" w:hAnsi="Times New Roman"/>
          <w:b/>
          <w:bCs/>
          <w:sz w:val="24"/>
          <w:szCs w:val="24"/>
        </w:rPr>
      </w:pPr>
      <w:r w:rsidRPr="00F135F1">
        <w:rPr>
          <w:rFonts w:ascii="Times New Roman" w:hAnsi="Times New Roman"/>
          <w:b/>
          <w:bCs/>
          <w:sz w:val="24"/>
          <w:szCs w:val="24"/>
        </w:rPr>
        <w:t>Evidence-Based Strategies to Create High-performance Interprofessional Teams</w:t>
      </w:r>
    </w:p>
    <w:p w14:paraId="20478B0C" w14:textId="77777777" w:rsidR="001176C2" w:rsidRPr="00F135F1" w:rsidRDefault="00C15491" w:rsidP="00F135F1">
      <w:pPr>
        <w:spacing w:after="0" w:line="480" w:lineRule="auto"/>
        <w:rPr>
          <w:rFonts w:ascii="Times New Roman" w:hAnsi="Times New Roman"/>
          <w:b/>
          <w:bCs/>
          <w:sz w:val="24"/>
          <w:szCs w:val="24"/>
        </w:rPr>
      </w:pPr>
      <w:r w:rsidRPr="00F135F1">
        <w:rPr>
          <w:rFonts w:ascii="Times New Roman" w:hAnsi="Times New Roman"/>
          <w:b/>
          <w:bCs/>
          <w:sz w:val="24"/>
          <w:szCs w:val="24"/>
        </w:rPr>
        <w:t>Strategies to Address Shortcomings</w:t>
      </w:r>
    </w:p>
    <w:p w14:paraId="73AE03ED" w14:textId="0C044379" w:rsidR="001176C2"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The workplace environment assessment results indicated that the organization is deficient in motivating individual and collective performance by implementing uncompetitive compensation and rewarding systems and </w:t>
      </w:r>
      <w:r w:rsidR="00F135F1" w:rsidRPr="00F135F1">
        <w:rPr>
          <w:rFonts w:ascii="Times New Roman" w:hAnsi="Times New Roman"/>
          <w:sz w:val="24"/>
          <w:szCs w:val="24"/>
        </w:rPr>
        <w:t>limited</w:t>
      </w:r>
      <w:r w:rsidRPr="00F135F1">
        <w:rPr>
          <w:rFonts w:ascii="Times New Roman" w:hAnsi="Times New Roman"/>
          <w:sz w:val="24"/>
          <w:szCs w:val="24"/>
        </w:rPr>
        <w:t xml:space="preserve"> workload distribution</w:t>
      </w:r>
      <w:r w:rsidR="00F135F1" w:rsidRPr="00F135F1">
        <w:rPr>
          <w:rFonts w:ascii="Times New Roman" w:hAnsi="Times New Roman"/>
          <w:sz w:val="24"/>
          <w:szCs w:val="24"/>
        </w:rPr>
        <w:t>, resulting</w:t>
      </w:r>
      <w:r w:rsidRPr="00F135F1">
        <w:rPr>
          <w:rFonts w:ascii="Times New Roman" w:hAnsi="Times New Roman"/>
          <w:sz w:val="24"/>
          <w:szCs w:val="24"/>
        </w:rPr>
        <w:t xml:space="preserve"> in adverse consequences such as high nurse turnover rates, job dissatisfaction, and stress. The current literature provides different solutions to these problems. Marin (2021) argues that an effective reward system should entail monetary and non-monetary benefits such as compensations, profit </w:t>
      </w:r>
      <w:r w:rsidRPr="00F135F1">
        <w:rPr>
          <w:rFonts w:ascii="Times New Roman" w:hAnsi="Times New Roman"/>
          <w:sz w:val="24"/>
          <w:szCs w:val="24"/>
        </w:rPr>
        <w:lastRenderedPageBreak/>
        <w:t xml:space="preserve">sharing, recognizing employees, health insurance, and retirement plans. In the same breath, Griffiths et al. (2019) propose strategies for reducing workload in healthcare institutions, including implementing value-based approaches like evaluating the patient-nurse ratio </w:t>
      </w:r>
      <w:r w:rsidR="00F135F1" w:rsidRPr="00F135F1">
        <w:rPr>
          <w:rFonts w:ascii="Times New Roman" w:hAnsi="Times New Roman"/>
          <w:sz w:val="24"/>
          <w:szCs w:val="24"/>
        </w:rPr>
        <w:t xml:space="preserve">and </w:t>
      </w:r>
      <w:r w:rsidRPr="00F135F1">
        <w:rPr>
          <w:rFonts w:ascii="Times New Roman" w:hAnsi="Times New Roman"/>
          <w:sz w:val="24"/>
          <w:szCs w:val="24"/>
        </w:rPr>
        <w:t xml:space="preserve">practicing evidence-based staffing systems such as prospective, concurrent, and retrospective </w:t>
      </w:r>
      <w:r w:rsidR="00F135F1" w:rsidRPr="00F135F1">
        <w:rPr>
          <w:rFonts w:ascii="Times New Roman" w:hAnsi="Times New Roman"/>
          <w:sz w:val="24"/>
          <w:szCs w:val="24"/>
        </w:rPr>
        <w:t>employment</w:t>
      </w:r>
      <w:r w:rsidRPr="00F135F1">
        <w:rPr>
          <w:rFonts w:ascii="Times New Roman" w:hAnsi="Times New Roman"/>
          <w:sz w:val="24"/>
          <w:szCs w:val="24"/>
        </w:rPr>
        <w:t xml:space="preserve">. Developing a rewarding system and </w:t>
      </w:r>
      <w:r w:rsidR="00F135F1" w:rsidRPr="00F135F1">
        <w:rPr>
          <w:rFonts w:ascii="Times New Roman" w:hAnsi="Times New Roman"/>
          <w:sz w:val="24"/>
          <w:szCs w:val="24"/>
        </w:rPr>
        <w:t>addressing</w:t>
      </w:r>
      <w:r w:rsidRPr="00F135F1">
        <w:rPr>
          <w:rFonts w:ascii="Times New Roman" w:hAnsi="Times New Roman"/>
          <w:sz w:val="24"/>
          <w:szCs w:val="24"/>
        </w:rPr>
        <w:t xml:space="preserve"> the problem of increased workload are essential strategies for addressing the shortcomings identified by the workplace environment assessment practice. </w:t>
      </w:r>
    </w:p>
    <w:p w14:paraId="75D9A09E" w14:textId="77777777" w:rsidR="001176C2" w:rsidRPr="00F135F1" w:rsidRDefault="00C15491" w:rsidP="00F135F1">
      <w:pPr>
        <w:spacing w:after="0" w:line="480" w:lineRule="auto"/>
        <w:rPr>
          <w:rFonts w:ascii="Times New Roman" w:hAnsi="Times New Roman"/>
          <w:b/>
          <w:bCs/>
          <w:sz w:val="24"/>
          <w:szCs w:val="24"/>
        </w:rPr>
      </w:pPr>
      <w:r w:rsidRPr="00F135F1">
        <w:rPr>
          <w:rFonts w:ascii="Times New Roman" w:hAnsi="Times New Roman"/>
          <w:b/>
          <w:bCs/>
          <w:sz w:val="24"/>
          <w:szCs w:val="24"/>
        </w:rPr>
        <w:t>Strategies to Bolster Successful Practices</w:t>
      </w:r>
    </w:p>
    <w:p w14:paraId="793E34B2" w14:textId="584752CE" w:rsidR="00F135F1" w:rsidRPr="00F135F1"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 xml:space="preserve">Cultivating a culture of excellence is a profound concept of bolstering successful practices amidst the organizational deficiencies in recognizing individual and </w:t>
      </w:r>
      <w:r w:rsidR="00F135F1" w:rsidRPr="00F135F1">
        <w:rPr>
          <w:rFonts w:ascii="Times New Roman" w:hAnsi="Times New Roman"/>
          <w:sz w:val="24"/>
          <w:szCs w:val="24"/>
        </w:rPr>
        <w:t>collective</w:t>
      </w:r>
      <w:r w:rsidRPr="00F135F1">
        <w:rPr>
          <w:rFonts w:ascii="Times New Roman" w:hAnsi="Times New Roman"/>
          <w:sz w:val="24"/>
          <w:szCs w:val="24"/>
        </w:rPr>
        <w:t xml:space="preserve"> performance and addressing unreasonable </w:t>
      </w:r>
      <w:r w:rsidR="00F135F1" w:rsidRPr="00F135F1">
        <w:rPr>
          <w:rFonts w:ascii="Times New Roman" w:hAnsi="Times New Roman"/>
          <w:sz w:val="24"/>
          <w:szCs w:val="24"/>
        </w:rPr>
        <w:t>workloads</w:t>
      </w:r>
      <w:r w:rsidRPr="00F135F1">
        <w:rPr>
          <w:rFonts w:ascii="Times New Roman" w:hAnsi="Times New Roman"/>
          <w:sz w:val="24"/>
          <w:szCs w:val="24"/>
        </w:rPr>
        <w:t xml:space="preserve">. According to Broome &amp; Marshall (2021), a culture of excellence contains five intertwined elements: structural empowerment, knowledge and innovation improvements, transformational leadership, </w:t>
      </w:r>
      <w:r w:rsidR="00F135F1" w:rsidRPr="00F135F1">
        <w:rPr>
          <w:rFonts w:ascii="Times New Roman" w:hAnsi="Times New Roman"/>
          <w:sz w:val="24"/>
          <w:szCs w:val="24"/>
        </w:rPr>
        <w:t>exemplary</w:t>
      </w:r>
      <w:r w:rsidRPr="00F135F1">
        <w:rPr>
          <w:rFonts w:ascii="Times New Roman" w:hAnsi="Times New Roman"/>
          <w:sz w:val="24"/>
          <w:szCs w:val="24"/>
        </w:rPr>
        <w:t xml:space="preserve"> professional practice, and empirical outcomes. It is possible to improve these components of a culture of excellence through creating consensus decision-making structures and processes, improving interprofessional collaboration to enhance care quality and patient outcomes, and strategically positioning nursing leadership with staff and patient advocacy (Broome &amp; Marshall, 2021). Finally, the organization can consider integrating research and evidence-based practice into clinical practices to generate innovations and improve clinical care practices. </w:t>
      </w:r>
    </w:p>
    <w:p w14:paraId="7A577362" w14:textId="76E639A4" w:rsidR="001176C2" w:rsidRPr="00F135F1" w:rsidRDefault="00C15491" w:rsidP="00F135F1">
      <w:pPr>
        <w:spacing w:after="0" w:line="480" w:lineRule="auto"/>
        <w:jc w:val="center"/>
        <w:rPr>
          <w:rFonts w:ascii="Times New Roman" w:hAnsi="Times New Roman"/>
          <w:b/>
          <w:bCs/>
          <w:sz w:val="24"/>
          <w:szCs w:val="24"/>
        </w:rPr>
      </w:pPr>
      <w:r w:rsidRPr="00F135F1">
        <w:rPr>
          <w:rFonts w:ascii="Times New Roman" w:hAnsi="Times New Roman"/>
          <w:b/>
          <w:bCs/>
          <w:sz w:val="24"/>
          <w:szCs w:val="24"/>
        </w:rPr>
        <w:t>Conclusion</w:t>
      </w:r>
    </w:p>
    <w:p w14:paraId="07F25E28" w14:textId="7EA84166" w:rsidR="001176C2" w:rsidRDefault="00C15491" w:rsidP="00F135F1">
      <w:pPr>
        <w:spacing w:after="0" w:line="480" w:lineRule="auto"/>
        <w:ind w:firstLine="720"/>
        <w:rPr>
          <w:rFonts w:ascii="Times New Roman" w:hAnsi="Times New Roman"/>
          <w:sz w:val="24"/>
          <w:szCs w:val="24"/>
        </w:rPr>
      </w:pPr>
      <w:r w:rsidRPr="00F135F1">
        <w:rPr>
          <w:rFonts w:ascii="Times New Roman" w:hAnsi="Times New Roman"/>
          <w:sz w:val="24"/>
          <w:szCs w:val="24"/>
        </w:rPr>
        <w:t>Uncivil behaviors and acts like bullying, structural discrimination, and violence lead to negative consequences, including depression, physical injuries, job dissatisfaction, and intentions to leave professional roles. The workplace environment assessment practice</w:t>
      </w:r>
      <w:r w:rsidR="00F135F1" w:rsidRPr="00F135F1">
        <w:rPr>
          <w:rFonts w:ascii="Times New Roman" w:hAnsi="Times New Roman"/>
          <w:sz w:val="24"/>
          <w:szCs w:val="24"/>
        </w:rPr>
        <w:t xml:space="preserve"> and</w:t>
      </w:r>
      <w:r w:rsidRPr="00F135F1">
        <w:rPr>
          <w:rFonts w:ascii="Times New Roman" w:hAnsi="Times New Roman"/>
          <w:sz w:val="24"/>
          <w:szCs w:val="24"/>
        </w:rPr>
        <w:t xml:space="preserve"> current literature </w:t>
      </w:r>
      <w:r w:rsidRPr="00F135F1">
        <w:rPr>
          <w:rFonts w:ascii="Times New Roman" w:hAnsi="Times New Roman"/>
          <w:sz w:val="24"/>
          <w:szCs w:val="24"/>
        </w:rPr>
        <w:lastRenderedPageBreak/>
        <w:t xml:space="preserve">identify strategies for preventing and reducing workplace environment incivility. The evidence-based </w:t>
      </w:r>
      <w:r w:rsidR="00F135F1" w:rsidRPr="00F135F1">
        <w:rPr>
          <w:rFonts w:ascii="Times New Roman" w:hAnsi="Times New Roman"/>
          <w:sz w:val="24"/>
          <w:szCs w:val="24"/>
        </w:rPr>
        <w:t>approach</w:t>
      </w:r>
      <w:r w:rsidRPr="00F135F1">
        <w:rPr>
          <w:rFonts w:ascii="Times New Roman" w:hAnsi="Times New Roman"/>
          <w:sz w:val="24"/>
          <w:szCs w:val="24"/>
        </w:rPr>
        <w:t xml:space="preserve"> for </w:t>
      </w:r>
      <w:r w:rsidR="00F135F1" w:rsidRPr="00F135F1">
        <w:rPr>
          <w:rFonts w:ascii="Times New Roman" w:hAnsi="Times New Roman"/>
          <w:sz w:val="24"/>
          <w:szCs w:val="24"/>
        </w:rPr>
        <w:t>addressing</w:t>
      </w:r>
      <w:r w:rsidRPr="00F135F1">
        <w:rPr>
          <w:rFonts w:ascii="Times New Roman" w:hAnsi="Times New Roman"/>
          <w:sz w:val="24"/>
          <w:szCs w:val="24"/>
        </w:rPr>
        <w:t xml:space="preserve"> incivility </w:t>
      </w:r>
      <w:r w:rsidR="00F135F1" w:rsidRPr="00F135F1">
        <w:rPr>
          <w:rFonts w:ascii="Times New Roman" w:hAnsi="Times New Roman"/>
          <w:sz w:val="24"/>
          <w:szCs w:val="24"/>
        </w:rPr>
        <w:t>includes</w:t>
      </w:r>
      <w:r w:rsidRPr="00F135F1">
        <w:rPr>
          <w:rFonts w:ascii="Times New Roman" w:hAnsi="Times New Roman"/>
          <w:sz w:val="24"/>
          <w:szCs w:val="24"/>
        </w:rPr>
        <w:t xml:space="preserve"> strengthening individual coping capacity, creating a culture of consensus decisions and effective communication, and the overall interventions for cultivating a culture of excellence. Consequently, this paper discusses the results of my workplace's work environment assessment regarding civility and health of the workplace, the transactional theory of stress and coping, the current literature, and evidence-based strategies to create high-performance interprofessional teams. </w:t>
      </w:r>
    </w:p>
    <w:p w14:paraId="17E1D733" w14:textId="4E097DCB" w:rsidR="0011751F" w:rsidRDefault="0011751F" w:rsidP="00F135F1">
      <w:pPr>
        <w:spacing w:after="0" w:line="480" w:lineRule="auto"/>
        <w:ind w:firstLine="720"/>
        <w:rPr>
          <w:rFonts w:ascii="Times New Roman" w:hAnsi="Times New Roman"/>
          <w:sz w:val="24"/>
          <w:szCs w:val="24"/>
        </w:rPr>
      </w:pPr>
    </w:p>
    <w:p w14:paraId="5D2BAC69" w14:textId="6F8225E9" w:rsidR="0011751F" w:rsidRDefault="0011751F" w:rsidP="00F135F1">
      <w:pPr>
        <w:spacing w:after="0" w:line="480" w:lineRule="auto"/>
        <w:ind w:firstLine="720"/>
        <w:rPr>
          <w:rFonts w:ascii="Times New Roman" w:hAnsi="Times New Roman"/>
          <w:sz w:val="24"/>
          <w:szCs w:val="24"/>
        </w:rPr>
      </w:pPr>
    </w:p>
    <w:p w14:paraId="6EF55FD1" w14:textId="5669BEA6" w:rsidR="0011751F" w:rsidRDefault="0011751F" w:rsidP="00F135F1">
      <w:pPr>
        <w:spacing w:after="0" w:line="480" w:lineRule="auto"/>
        <w:ind w:firstLine="720"/>
        <w:rPr>
          <w:rFonts w:ascii="Times New Roman" w:hAnsi="Times New Roman"/>
          <w:sz w:val="24"/>
          <w:szCs w:val="24"/>
        </w:rPr>
      </w:pPr>
    </w:p>
    <w:p w14:paraId="31C3CB89" w14:textId="3F640975" w:rsidR="0011751F" w:rsidRDefault="0011751F" w:rsidP="00F135F1">
      <w:pPr>
        <w:spacing w:after="0" w:line="480" w:lineRule="auto"/>
        <w:ind w:firstLine="720"/>
        <w:rPr>
          <w:rFonts w:ascii="Times New Roman" w:hAnsi="Times New Roman"/>
          <w:sz w:val="24"/>
          <w:szCs w:val="24"/>
        </w:rPr>
      </w:pPr>
    </w:p>
    <w:p w14:paraId="7BCB9A4D" w14:textId="4CEB8325" w:rsidR="0011751F" w:rsidRDefault="0011751F" w:rsidP="00F135F1">
      <w:pPr>
        <w:spacing w:after="0" w:line="480" w:lineRule="auto"/>
        <w:ind w:firstLine="720"/>
        <w:rPr>
          <w:rFonts w:ascii="Times New Roman" w:hAnsi="Times New Roman"/>
          <w:sz w:val="24"/>
          <w:szCs w:val="24"/>
        </w:rPr>
      </w:pPr>
    </w:p>
    <w:p w14:paraId="0212EFFF" w14:textId="2B8DBD0A" w:rsidR="0011751F" w:rsidRDefault="0011751F" w:rsidP="00F135F1">
      <w:pPr>
        <w:spacing w:after="0" w:line="480" w:lineRule="auto"/>
        <w:ind w:firstLine="720"/>
        <w:rPr>
          <w:rFonts w:ascii="Times New Roman" w:hAnsi="Times New Roman"/>
          <w:sz w:val="24"/>
          <w:szCs w:val="24"/>
        </w:rPr>
      </w:pPr>
    </w:p>
    <w:p w14:paraId="7799F356" w14:textId="68191EC1" w:rsidR="0011751F" w:rsidRDefault="0011751F" w:rsidP="00F135F1">
      <w:pPr>
        <w:spacing w:after="0" w:line="480" w:lineRule="auto"/>
        <w:ind w:firstLine="720"/>
        <w:rPr>
          <w:rFonts w:ascii="Times New Roman" w:hAnsi="Times New Roman"/>
          <w:sz w:val="24"/>
          <w:szCs w:val="24"/>
        </w:rPr>
      </w:pPr>
    </w:p>
    <w:p w14:paraId="26BDBD56" w14:textId="5815634F" w:rsidR="0011751F" w:rsidRDefault="0011751F" w:rsidP="00F135F1">
      <w:pPr>
        <w:spacing w:after="0" w:line="480" w:lineRule="auto"/>
        <w:ind w:firstLine="720"/>
        <w:rPr>
          <w:rFonts w:ascii="Times New Roman" w:hAnsi="Times New Roman"/>
          <w:sz w:val="24"/>
          <w:szCs w:val="24"/>
        </w:rPr>
      </w:pPr>
    </w:p>
    <w:p w14:paraId="478FAA16" w14:textId="6D7CE668" w:rsidR="0011751F" w:rsidRDefault="0011751F" w:rsidP="00F135F1">
      <w:pPr>
        <w:spacing w:after="0" w:line="480" w:lineRule="auto"/>
        <w:ind w:firstLine="720"/>
        <w:rPr>
          <w:rFonts w:ascii="Times New Roman" w:hAnsi="Times New Roman"/>
          <w:sz w:val="24"/>
          <w:szCs w:val="24"/>
        </w:rPr>
      </w:pPr>
    </w:p>
    <w:p w14:paraId="6BA00A81" w14:textId="75BFF843" w:rsidR="0011751F" w:rsidRDefault="0011751F" w:rsidP="00F135F1">
      <w:pPr>
        <w:spacing w:after="0" w:line="480" w:lineRule="auto"/>
        <w:ind w:firstLine="720"/>
        <w:rPr>
          <w:rFonts w:ascii="Times New Roman" w:hAnsi="Times New Roman"/>
          <w:sz w:val="24"/>
          <w:szCs w:val="24"/>
        </w:rPr>
      </w:pPr>
    </w:p>
    <w:p w14:paraId="60A416DA" w14:textId="120D946C" w:rsidR="0011751F" w:rsidRDefault="0011751F" w:rsidP="00F135F1">
      <w:pPr>
        <w:spacing w:after="0" w:line="480" w:lineRule="auto"/>
        <w:ind w:firstLine="720"/>
        <w:rPr>
          <w:rFonts w:ascii="Times New Roman" w:hAnsi="Times New Roman"/>
          <w:sz w:val="24"/>
          <w:szCs w:val="24"/>
        </w:rPr>
      </w:pPr>
    </w:p>
    <w:p w14:paraId="2E03A3F0" w14:textId="5CB50A93" w:rsidR="0011751F" w:rsidRDefault="0011751F" w:rsidP="00F135F1">
      <w:pPr>
        <w:spacing w:after="0" w:line="480" w:lineRule="auto"/>
        <w:ind w:firstLine="720"/>
        <w:rPr>
          <w:rFonts w:ascii="Times New Roman" w:hAnsi="Times New Roman"/>
          <w:sz w:val="24"/>
          <w:szCs w:val="24"/>
        </w:rPr>
      </w:pPr>
    </w:p>
    <w:p w14:paraId="286381D2" w14:textId="0C7815A8" w:rsidR="0011751F" w:rsidRDefault="0011751F" w:rsidP="00F135F1">
      <w:pPr>
        <w:spacing w:after="0" w:line="480" w:lineRule="auto"/>
        <w:ind w:firstLine="720"/>
        <w:rPr>
          <w:rFonts w:ascii="Times New Roman" w:hAnsi="Times New Roman"/>
          <w:sz w:val="24"/>
          <w:szCs w:val="24"/>
        </w:rPr>
      </w:pPr>
    </w:p>
    <w:p w14:paraId="75E382A1" w14:textId="341747F6" w:rsidR="0011751F" w:rsidRDefault="0011751F" w:rsidP="00F135F1">
      <w:pPr>
        <w:spacing w:after="0" w:line="480" w:lineRule="auto"/>
        <w:ind w:firstLine="720"/>
        <w:rPr>
          <w:rFonts w:ascii="Times New Roman" w:hAnsi="Times New Roman"/>
          <w:sz w:val="24"/>
          <w:szCs w:val="24"/>
        </w:rPr>
      </w:pPr>
    </w:p>
    <w:p w14:paraId="341D1E4E" w14:textId="5C206948" w:rsidR="0011751F" w:rsidRDefault="0011751F" w:rsidP="00F135F1">
      <w:pPr>
        <w:spacing w:after="0" w:line="480" w:lineRule="auto"/>
        <w:ind w:firstLine="720"/>
        <w:rPr>
          <w:rFonts w:ascii="Times New Roman" w:hAnsi="Times New Roman"/>
          <w:sz w:val="24"/>
          <w:szCs w:val="24"/>
        </w:rPr>
      </w:pPr>
    </w:p>
    <w:p w14:paraId="6273CBEA" w14:textId="0F62CB45" w:rsidR="0011751F" w:rsidRDefault="0011751F" w:rsidP="00F135F1">
      <w:pPr>
        <w:spacing w:after="0" w:line="480" w:lineRule="auto"/>
        <w:ind w:firstLine="720"/>
        <w:rPr>
          <w:rFonts w:ascii="Times New Roman" w:hAnsi="Times New Roman"/>
          <w:sz w:val="24"/>
          <w:szCs w:val="24"/>
        </w:rPr>
      </w:pPr>
    </w:p>
    <w:p w14:paraId="6E0E7E6D" w14:textId="77777777" w:rsidR="0011751F" w:rsidRPr="0011751F" w:rsidRDefault="0011751F" w:rsidP="0011751F">
      <w:pPr>
        <w:spacing w:after="0" w:line="480" w:lineRule="auto"/>
        <w:ind w:left="720" w:hanging="720"/>
        <w:jc w:val="center"/>
        <w:rPr>
          <w:rFonts w:ascii="Times New Roman" w:eastAsia="Calibri" w:hAnsi="Times New Roman"/>
          <w:b/>
          <w:bCs/>
          <w:sz w:val="24"/>
          <w:szCs w:val="24"/>
          <w:lang w:eastAsia="en-US"/>
        </w:rPr>
      </w:pPr>
      <w:r w:rsidRPr="0011751F">
        <w:rPr>
          <w:rFonts w:ascii="Times New Roman" w:eastAsia="Calibri" w:hAnsi="Times New Roman"/>
          <w:b/>
          <w:bCs/>
          <w:sz w:val="24"/>
          <w:szCs w:val="24"/>
          <w:lang w:eastAsia="en-US"/>
        </w:rPr>
        <w:lastRenderedPageBreak/>
        <w:t>References</w:t>
      </w:r>
    </w:p>
    <w:p w14:paraId="3D151F2C"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 xml:space="preserve">Bambi, S., Guazzini, A., De Felippis, C., Lucchini, A., &amp; Rasero, L. (2017). Preventing workplace incivility, lateral violence, and bullying between nurses. A narrative literature </w:t>
      </w:r>
      <w:proofErr w:type="gramStart"/>
      <w:r w:rsidRPr="0011751F">
        <w:rPr>
          <w:rFonts w:ascii="Times New Roman" w:eastAsia="Times New Roman" w:hAnsi="Times New Roman"/>
          <w:sz w:val="24"/>
          <w:szCs w:val="24"/>
          <w:lang w:eastAsia="en-US"/>
        </w:rPr>
        <w:t>review</w:t>
      </w:r>
      <w:proofErr w:type="gramEnd"/>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Acta Bio-Medica: Atenei Parmensis</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88</w:t>
      </w:r>
      <w:r w:rsidRPr="0011751F">
        <w:rPr>
          <w:rFonts w:ascii="Times New Roman" w:eastAsia="Times New Roman" w:hAnsi="Times New Roman"/>
          <w:sz w:val="24"/>
          <w:szCs w:val="24"/>
          <w:lang w:eastAsia="en-US"/>
        </w:rPr>
        <w:t xml:space="preserve">(5S), 39–47. </w:t>
      </w:r>
      <w:hyperlink r:id="rId6" w:history="1">
        <w:r w:rsidRPr="0011751F">
          <w:rPr>
            <w:rFonts w:ascii="Times New Roman" w:eastAsia="Times New Roman" w:hAnsi="Times New Roman"/>
            <w:color w:val="0563C1"/>
            <w:sz w:val="24"/>
            <w:szCs w:val="24"/>
            <w:u w:val="single"/>
            <w:lang w:eastAsia="en-US"/>
          </w:rPr>
          <w:t>https://doi.org/10.23750/abm.v88i5-S.6838</w:t>
        </w:r>
      </w:hyperlink>
      <w:r w:rsidRPr="0011751F">
        <w:rPr>
          <w:rFonts w:ascii="Times New Roman" w:eastAsia="Times New Roman" w:hAnsi="Times New Roman"/>
          <w:sz w:val="24"/>
          <w:szCs w:val="24"/>
          <w:lang w:eastAsia="en-US"/>
        </w:rPr>
        <w:t xml:space="preserve"> </w:t>
      </w:r>
    </w:p>
    <w:p w14:paraId="6E59B353" w14:textId="77777777" w:rsidR="0011751F" w:rsidRPr="0011751F" w:rsidRDefault="0011751F" w:rsidP="0011751F">
      <w:pPr>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 xml:space="preserve">Broome, M., &amp; Marshall, E. S. (2021). </w:t>
      </w:r>
      <w:r w:rsidRPr="0011751F">
        <w:rPr>
          <w:rFonts w:ascii="Times New Roman" w:eastAsia="Times New Roman" w:hAnsi="Times New Roman"/>
          <w:i/>
          <w:iCs/>
          <w:sz w:val="24"/>
          <w:szCs w:val="24"/>
          <w:lang w:eastAsia="en-US"/>
        </w:rPr>
        <w:t>Transformational leadership in nursing: From expert clinician to influential leader</w:t>
      </w:r>
      <w:r w:rsidRPr="0011751F">
        <w:rPr>
          <w:rFonts w:ascii="Times New Roman" w:eastAsia="Times New Roman" w:hAnsi="Times New Roman"/>
          <w:sz w:val="24"/>
          <w:szCs w:val="24"/>
          <w:lang w:eastAsia="en-US"/>
        </w:rPr>
        <w:t xml:space="preserve"> (3rd ed.). Springer.</w:t>
      </w:r>
    </w:p>
    <w:p w14:paraId="024156EA" w14:textId="77777777" w:rsidR="0011751F" w:rsidRPr="0011751F" w:rsidRDefault="0011751F" w:rsidP="0011751F">
      <w:pPr>
        <w:spacing w:after="0" w:line="480" w:lineRule="auto"/>
        <w:ind w:left="720" w:hanging="720"/>
        <w:rPr>
          <w:rFonts w:ascii="Times New Roman" w:eastAsia="Calibri" w:hAnsi="Times New Roman"/>
          <w:sz w:val="24"/>
          <w:szCs w:val="24"/>
          <w:lang w:eastAsia="en-US"/>
        </w:rPr>
      </w:pPr>
      <w:r w:rsidRPr="0011751F">
        <w:rPr>
          <w:rFonts w:ascii="Times New Roman" w:eastAsia="Calibri" w:hAnsi="Times New Roman"/>
          <w:sz w:val="24"/>
          <w:szCs w:val="24"/>
          <w:lang w:eastAsia="en-US"/>
        </w:rPr>
        <w:t xml:space="preserve">Clark, C. M. (2015). Conversations to inspire and promote a more civil workplace. American Nurse Today, 10(11), 18–23. </w:t>
      </w:r>
      <w:hyperlink r:id="rId7" w:history="1">
        <w:r w:rsidRPr="0011751F">
          <w:rPr>
            <w:rFonts w:ascii="Times New Roman" w:eastAsia="Calibri" w:hAnsi="Times New Roman"/>
            <w:color w:val="0563C1"/>
            <w:sz w:val="24"/>
            <w:szCs w:val="24"/>
            <w:u w:val="single"/>
            <w:lang w:eastAsia="en-US"/>
          </w:rPr>
          <w:t>https://www.americannursetoday.com/wp-content/uploads/2015/11/ant11-CE-Civility-1023.pdf</w:t>
        </w:r>
      </w:hyperlink>
      <w:r w:rsidRPr="0011751F">
        <w:rPr>
          <w:rFonts w:ascii="Times New Roman" w:eastAsia="Calibri" w:hAnsi="Times New Roman"/>
          <w:sz w:val="24"/>
          <w:szCs w:val="24"/>
          <w:lang w:eastAsia="en-US"/>
        </w:rPr>
        <w:t xml:space="preserve"> </w:t>
      </w:r>
    </w:p>
    <w:p w14:paraId="1FB007E1"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Clark, C. M. (2018). Combining cognitive rehearsal, simulation, and evidence-based scripting to address incivility. </w:t>
      </w:r>
      <w:r w:rsidRPr="0011751F">
        <w:rPr>
          <w:rFonts w:ascii="Times New Roman" w:eastAsia="Times New Roman" w:hAnsi="Times New Roman"/>
          <w:i/>
          <w:iCs/>
          <w:sz w:val="24"/>
          <w:szCs w:val="24"/>
          <w:lang w:eastAsia="en-US"/>
        </w:rPr>
        <w:t>Nurse Educator</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44</w:t>
      </w:r>
      <w:r w:rsidRPr="0011751F">
        <w:rPr>
          <w:rFonts w:ascii="Times New Roman" w:eastAsia="Times New Roman" w:hAnsi="Times New Roman"/>
          <w:sz w:val="24"/>
          <w:szCs w:val="24"/>
          <w:lang w:eastAsia="en-US"/>
        </w:rPr>
        <w:t xml:space="preserve">(2), 64–68. </w:t>
      </w:r>
      <w:hyperlink r:id="rId8" w:history="1">
        <w:r w:rsidRPr="0011751F">
          <w:rPr>
            <w:rFonts w:ascii="Times New Roman" w:eastAsia="Times New Roman" w:hAnsi="Times New Roman"/>
            <w:color w:val="0563C1"/>
            <w:sz w:val="24"/>
            <w:szCs w:val="24"/>
            <w:u w:val="single"/>
            <w:lang w:eastAsia="en-US"/>
          </w:rPr>
          <w:t>https://doi.org/10.1097/nne.0000000000000563</w:t>
        </w:r>
      </w:hyperlink>
      <w:r w:rsidRPr="0011751F">
        <w:rPr>
          <w:rFonts w:ascii="Times New Roman" w:eastAsia="Times New Roman" w:hAnsi="Times New Roman"/>
          <w:sz w:val="24"/>
          <w:szCs w:val="24"/>
          <w:lang w:eastAsia="en-US"/>
        </w:rPr>
        <w:t xml:space="preserve"> </w:t>
      </w:r>
    </w:p>
    <w:p w14:paraId="3F2B1769"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Griffiths, P., Saville, C., Ball, J., Jones, J., Pattison, N., &amp; Monks, T. (2019). Nursing workload, Nurse Staffing Methodologies &amp; Tools: a systematic scoping review &amp; discussion. </w:t>
      </w:r>
      <w:r w:rsidRPr="0011751F">
        <w:rPr>
          <w:rFonts w:ascii="Times New Roman" w:eastAsia="Times New Roman" w:hAnsi="Times New Roman"/>
          <w:i/>
          <w:iCs/>
          <w:sz w:val="24"/>
          <w:szCs w:val="24"/>
          <w:lang w:eastAsia="en-US"/>
        </w:rPr>
        <w:t>International Journal of Nursing Studies</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103</w:t>
      </w:r>
      <w:r w:rsidRPr="0011751F">
        <w:rPr>
          <w:rFonts w:ascii="Times New Roman" w:eastAsia="Times New Roman" w:hAnsi="Times New Roman"/>
          <w:sz w:val="24"/>
          <w:szCs w:val="24"/>
          <w:lang w:eastAsia="en-US"/>
        </w:rPr>
        <w:t xml:space="preserve">(1), 103487. </w:t>
      </w:r>
      <w:hyperlink r:id="rId9" w:history="1">
        <w:r w:rsidRPr="0011751F">
          <w:rPr>
            <w:rFonts w:ascii="Times New Roman" w:eastAsia="Times New Roman" w:hAnsi="Times New Roman"/>
            <w:color w:val="0563C1"/>
            <w:sz w:val="24"/>
            <w:szCs w:val="24"/>
            <w:u w:val="single"/>
            <w:lang w:eastAsia="en-US"/>
          </w:rPr>
          <w:t>https://doi.org/10.1016/j.ijnurstu.2019.103487</w:t>
        </w:r>
      </w:hyperlink>
      <w:r w:rsidRPr="0011751F">
        <w:rPr>
          <w:rFonts w:ascii="Times New Roman" w:eastAsia="Times New Roman" w:hAnsi="Times New Roman"/>
          <w:sz w:val="24"/>
          <w:szCs w:val="24"/>
          <w:lang w:eastAsia="en-US"/>
        </w:rPr>
        <w:t xml:space="preserve"> </w:t>
      </w:r>
    </w:p>
    <w:p w14:paraId="732DEB5C"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proofErr w:type="spellStart"/>
      <w:r w:rsidRPr="0011751F">
        <w:rPr>
          <w:rFonts w:ascii="Times New Roman" w:eastAsia="Times New Roman" w:hAnsi="Times New Roman"/>
          <w:sz w:val="24"/>
          <w:szCs w:val="24"/>
          <w:lang w:eastAsia="en-US"/>
        </w:rPr>
        <w:t>Kokoroko</w:t>
      </w:r>
      <w:proofErr w:type="spellEnd"/>
      <w:r w:rsidRPr="0011751F">
        <w:rPr>
          <w:rFonts w:ascii="Times New Roman" w:eastAsia="Times New Roman" w:hAnsi="Times New Roman"/>
          <w:sz w:val="24"/>
          <w:szCs w:val="24"/>
          <w:lang w:eastAsia="en-US"/>
        </w:rPr>
        <w:t xml:space="preserve">, E., &amp; Sanda, M. A. (2019). Effect of workload on job stress of Ghanaian </w:t>
      </w:r>
      <w:proofErr w:type="spellStart"/>
      <w:r w:rsidRPr="0011751F">
        <w:rPr>
          <w:rFonts w:ascii="Times New Roman" w:eastAsia="Times New Roman" w:hAnsi="Times New Roman"/>
          <w:sz w:val="24"/>
          <w:szCs w:val="24"/>
          <w:lang w:eastAsia="en-US"/>
        </w:rPr>
        <w:t>OPD</w:t>
      </w:r>
      <w:proofErr w:type="spellEnd"/>
      <w:r w:rsidRPr="0011751F">
        <w:rPr>
          <w:rFonts w:ascii="Times New Roman" w:eastAsia="Times New Roman" w:hAnsi="Times New Roman"/>
          <w:sz w:val="24"/>
          <w:szCs w:val="24"/>
          <w:lang w:eastAsia="en-US"/>
        </w:rPr>
        <w:t xml:space="preserve"> nurses: The role of coworker support. </w:t>
      </w:r>
      <w:r w:rsidRPr="0011751F">
        <w:rPr>
          <w:rFonts w:ascii="Times New Roman" w:eastAsia="Times New Roman" w:hAnsi="Times New Roman"/>
          <w:i/>
          <w:iCs/>
          <w:sz w:val="24"/>
          <w:szCs w:val="24"/>
          <w:lang w:eastAsia="en-US"/>
        </w:rPr>
        <w:t>Safety and Health at Work</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10</w:t>
      </w:r>
      <w:r w:rsidRPr="0011751F">
        <w:rPr>
          <w:rFonts w:ascii="Times New Roman" w:eastAsia="Times New Roman" w:hAnsi="Times New Roman"/>
          <w:sz w:val="24"/>
          <w:szCs w:val="24"/>
          <w:lang w:eastAsia="en-US"/>
        </w:rPr>
        <w:t xml:space="preserve">(3), 341–346. </w:t>
      </w:r>
      <w:hyperlink r:id="rId10" w:history="1">
        <w:r w:rsidRPr="0011751F">
          <w:rPr>
            <w:rFonts w:ascii="Times New Roman" w:eastAsia="Times New Roman" w:hAnsi="Times New Roman"/>
            <w:color w:val="0563C1"/>
            <w:sz w:val="24"/>
            <w:szCs w:val="24"/>
            <w:u w:val="single"/>
            <w:lang w:eastAsia="en-US"/>
          </w:rPr>
          <w:t>https://doi.org/10.1016/j.shaw.2019.04.002</w:t>
        </w:r>
      </w:hyperlink>
      <w:r w:rsidRPr="0011751F">
        <w:rPr>
          <w:rFonts w:ascii="Times New Roman" w:eastAsia="Times New Roman" w:hAnsi="Times New Roman"/>
          <w:sz w:val="24"/>
          <w:szCs w:val="24"/>
          <w:lang w:eastAsia="en-US"/>
        </w:rPr>
        <w:t xml:space="preserve"> </w:t>
      </w:r>
    </w:p>
    <w:p w14:paraId="43AB2EEB"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 xml:space="preserve">Landy, J. F., Shigeto, A., Laxman, D. J., &amp; </w:t>
      </w:r>
      <w:proofErr w:type="spellStart"/>
      <w:r w:rsidRPr="0011751F">
        <w:rPr>
          <w:rFonts w:ascii="Times New Roman" w:eastAsia="Times New Roman" w:hAnsi="Times New Roman"/>
          <w:sz w:val="24"/>
          <w:szCs w:val="24"/>
          <w:lang w:eastAsia="en-US"/>
        </w:rPr>
        <w:t>Scheier</w:t>
      </w:r>
      <w:proofErr w:type="spellEnd"/>
      <w:r w:rsidRPr="0011751F">
        <w:rPr>
          <w:rFonts w:ascii="Times New Roman" w:eastAsia="Times New Roman" w:hAnsi="Times New Roman"/>
          <w:sz w:val="24"/>
          <w:szCs w:val="24"/>
          <w:lang w:eastAsia="en-US"/>
        </w:rPr>
        <w:t xml:space="preserve">, L. M. (2022). Typologies of stress appraisal and problem-focused coping: Associations with compliance with public health </w:t>
      </w:r>
      <w:r w:rsidRPr="0011751F">
        <w:rPr>
          <w:rFonts w:ascii="Times New Roman" w:eastAsia="Times New Roman" w:hAnsi="Times New Roman"/>
          <w:sz w:val="24"/>
          <w:szCs w:val="24"/>
          <w:lang w:eastAsia="en-US"/>
        </w:rPr>
        <w:lastRenderedPageBreak/>
        <w:t>recommendations during the COVID-19 pandemic. </w:t>
      </w:r>
      <w:r w:rsidRPr="0011751F">
        <w:rPr>
          <w:rFonts w:ascii="Times New Roman" w:eastAsia="Times New Roman" w:hAnsi="Times New Roman"/>
          <w:i/>
          <w:iCs/>
          <w:sz w:val="24"/>
          <w:szCs w:val="24"/>
          <w:lang w:eastAsia="en-US"/>
        </w:rPr>
        <w:t>BMC Public Health</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22</w:t>
      </w:r>
      <w:r w:rsidRPr="0011751F">
        <w:rPr>
          <w:rFonts w:ascii="Times New Roman" w:eastAsia="Times New Roman" w:hAnsi="Times New Roman"/>
          <w:sz w:val="24"/>
          <w:szCs w:val="24"/>
          <w:lang w:eastAsia="en-US"/>
        </w:rPr>
        <w:t xml:space="preserve">(1), 1–11. </w:t>
      </w:r>
      <w:hyperlink r:id="rId11" w:history="1">
        <w:r w:rsidRPr="0011751F">
          <w:rPr>
            <w:rFonts w:ascii="Times New Roman" w:eastAsia="Times New Roman" w:hAnsi="Times New Roman"/>
            <w:color w:val="0563C1"/>
            <w:sz w:val="24"/>
            <w:szCs w:val="24"/>
            <w:u w:val="single"/>
            <w:lang w:eastAsia="en-US"/>
          </w:rPr>
          <w:t>https://doi.org/10.1186/s12889-022-13161-5</w:t>
        </w:r>
      </w:hyperlink>
      <w:r w:rsidRPr="0011751F">
        <w:rPr>
          <w:rFonts w:ascii="Times New Roman" w:eastAsia="Times New Roman" w:hAnsi="Times New Roman"/>
          <w:sz w:val="24"/>
          <w:szCs w:val="24"/>
          <w:lang w:eastAsia="en-US"/>
        </w:rPr>
        <w:t xml:space="preserve"> </w:t>
      </w:r>
    </w:p>
    <w:p w14:paraId="1933C903"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Manzoor, F., Wei, L., &amp; Asif, M. (2021). Intrinsic rewards and employee performance with the mediating mechanism of employee motivation. </w:t>
      </w:r>
      <w:r w:rsidRPr="0011751F">
        <w:rPr>
          <w:rFonts w:ascii="Times New Roman" w:eastAsia="Times New Roman" w:hAnsi="Times New Roman"/>
          <w:i/>
          <w:iCs/>
          <w:sz w:val="24"/>
          <w:szCs w:val="24"/>
          <w:lang w:eastAsia="en-US"/>
        </w:rPr>
        <w:t>Frontiers in Psychology</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12</w:t>
      </w:r>
      <w:r w:rsidRPr="0011751F">
        <w:rPr>
          <w:rFonts w:ascii="Times New Roman" w:eastAsia="Times New Roman" w:hAnsi="Times New Roman"/>
          <w:sz w:val="24"/>
          <w:szCs w:val="24"/>
          <w:lang w:eastAsia="en-US"/>
        </w:rPr>
        <w:t xml:space="preserve">, 1–13. </w:t>
      </w:r>
      <w:hyperlink r:id="rId12" w:history="1">
        <w:r w:rsidRPr="0011751F">
          <w:rPr>
            <w:rFonts w:ascii="Times New Roman" w:eastAsia="Times New Roman" w:hAnsi="Times New Roman"/>
            <w:color w:val="0563C1"/>
            <w:sz w:val="24"/>
            <w:szCs w:val="24"/>
            <w:u w:val="single"/>
            <w:lang w:eastAsia="en-US"/>
          </w:rPr>
          <w:t>https://doi.org/10.3389/fpsyg.2021.563070</w:t>
        </w:r>
      </w:hyperlink>
      <w:r w:rsidRPr="0011751F">
        <w:rPr>
          <w:rFonts w:ascii="Times New Roman" w:eastAsia="Times New Roman" w:hAnsi="Times New Roman"/>
          <w:sz w:val="24"/>
          <w:szCs w:val="24"/>
          <w:lang w:eastAsia="en-US"/>
        </w:rPr>
        <w:t xml:space="preserve"> </w:t>
      </w:r>
    </w:p>
    <w:p w14:paraId="72B3312F"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Obbarius, N., Fischer, F., Liegl, G., Obbarius, A., &amp; Rose, M. (2021). A modified version of the transactional stress concept, according to Lazarus and Folkman, was confirmed in a psychosomatic inpatient sample. </w:t>
      </w:r>
      <w:r w:rsidRPr="0011751F">
        <w:rPr>
          <w:rFonts w:ascii="Times New Roman" w:eastAsia="Times New Roman" w:hAnsi="Times New Roman"/>
          <w:i/>
          <w:iCs/>
          <w:sz w:val="24"/>
          <w:szCs w:val="24"/>
          <w:lang w:eastAsia="en-US"/>
        </w:rPr>
        <w:t>Frontiers in Psychology</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12</w:t>
      </w:r>
      <w:r w:rsidRPr="0011751F">
        <w:rPr>
          <w:rFonts w:ascii="Times New Roman" w:eastAsia="Times New Roman" w:hAnsi="Times New Roman"/>
          <w:sz w:val="24"/>
          <w:szCs w:val="24"/>
          <w:lang w:eastAsia="en-US"/>
        </w:rPr>
        <w:t xml:space="preserve">, 1–12. </w:t>
      </w:r>
      <w:hyperlink r:id="rId13" w:history="1">
        <w:r w:rsidRPr="0011751F">
          <w:rPr>
            <w:rFonts w:ascii="Times New Roman" w:eastAsia="Times New Roman" w:hAnsi="Times New Roman"/>
            <w:color w:val="0563C1"/>
            <w:sz w:val="24"/>
            <w:szCs w:val="24"/>
            <w:u w:val="single"/>
            <w:lang w:eastAsia="en-US"/>
          </w:rPr>
          <w:t>https://doi.org/10.3389/fpsyg.2021.584333</w:t>
        </w:r>
      </w:hyperlink>
      <w:r w:rsidRPr="0011751F">
        <w:rPr>
          <w:rFonts w:ascii="Times New Roman" w:eastAsia="Times New Roman" w:hAnsi="Times New Roman"/>
          <w:sz w:val="24"/>
          <w:szCs w:val="24"/>
          <w:lang w:eastAsia="en-US"/>
        </w:rPr>
        <w:t xml:space="preserve"> </w:t>
      </w:r>
    </w:p>
    <w:p w14:paraId="5F72C1A6" w14:textId="77777777" w:rsidR="0011751F" w:rsidRPr="0011751F" w:rsidRDefault="0011751F" w:rsidP="0011751F">
      <w:pPr>
        <w:shd w:val="clear" w:color="auto" w:fill="FFFFFF"/>
        <w:spacing w:after="0" w:line="480" w:lineRule="auto"/>
        <w:ind w:left="720" w:hanging="720"/>
        <w:rPr>
          <w:rFonts w:ascii="Times New Roman" w:eastAsia="Times New Roman" w:hAnsi="Times New Roman"/>
          <w:sz w:val="24"/>
          <w:szCs w:val="24"/>
          <w:lang w:eastAsia="en-US"/>
        </w:rPr>
      </w:pPr>
      <w:r w:rsidRPr="0011751F">
        <w:rPr>
          <w:rFonts w:ascii="Times New Roman" w:eastAsia="Times New Roman" w:hAnsi="Times New Roman"/>
          <w:sz w:val="24"/>
          <w:szCs w:val="24"/>
          <w:lang w:eastAsia="en-US"/>
        </w:rPr>
        <w:t>Zhang, S., Ma, C., Meng, D., Shi, Y., Xie, F., Wang, J., Dong, X., Liu, J., Cang, S., &amp; Sun, T. (2018). Impact of workplace incivility in hospitals on the workability, career expectations and job performance of Chinese nurses: A cross-sectional survey. </w:t>
      </w:r>
      <w:r w:rsidRPr="0011751F">
        <w:rPr>
          <w:rFonts w:ascii="Times New Roman" w:eastAsia="Times New Roman" w:hAnsi="Times New Roman"/>
          <w:i/>
          <w:iCs/>
          <w:sz w:val="24"/>
          <w:szCs w:val="24"/>
          <w:lang w:eastAsia="en-US"/>
        </w:rPr>
        <w:t>BMJ Open</w:t>
      </w:r>
      <w:r w:rsidRPr="0011751F">
        <w:rPr>
          <w:rFonts w:ascii="Times New Roman" w:eastAsia="Times New Roman" w:hAnsi="Times New Roman"/>
          <w:sz w:val="24"/>
          <w:szCs w:val="24"/>
          <w:lang w:eastAsia="en-US"/>
        </w:rPr>
        <w:t>, </w:t>
      </w:r>
      <w:r w:rsidRPr="0011751F">
        <w:rPr>
          <w:rFonts w:ascii="Times New Roman" w:eastAsia="Times New Roman" w:hAnsi="Times New Roman"/>
          <w:i/>
          <w:iCs/>
          <w:sz w:val="24"/>
          <w:szCs w:val="24"/>
          <w:lang w:eastAsia="en-US"/>
        </w:rPr>
        <w:t>8</w:t>
      </w:r>
      <w:r w:rsidRPr="0011751F">
        <w:rPr>
          <w:rFonts w:ascii="Times New Roman" w:eastAsia="Times New Roman" w:hAnsi="Times New Roman"/>
          <w:sz w:val="24"/>
          <w:szCs w:val="24"/>
          <w:lang w:eastAsia="en-US"/>
        </w:rPr>
        <w:t xml:space="preserve">(12), e021874. </w:t>
      </w:r>
      <w:hyperlink r:id="rId14" w:history="1">
        <w:r w:rsidRPr="0011751F">
          <w:rPr>
            <w:rFonts w:ascii="Times New Roman" w:eastAsia="Times New Roman" w:hAnsi="Times New Roman"/>
            <w:color w:val="0563C1"/>
            <w:sz w:val="24"/>
            <w:szCs w:val="24"/>
            <w:u w:val="single"/>
            <w:lang w:eastAsia="en-US"/>
          </w:rPr>
          <w:t>https://doi.org/10.1136/bmjopen-2018-021874</w:t>
        </w:r>
      </w:hyperlink>
      <w:r w:rsidRPr="0011751F">
        <w:rPr>
          <w:rFonts w:ascii="Times New Roman" w:eastAsia="Times New Roman" w:hAnsi="Times New Roman"/>
          <w:sz w:val="24"/>
          <w:szCs w:val="24"/>
          <w:lang w:eastAsia="en-US"/>
        </w:rPr>
        <w:t xml:space="preserve"> </w:t>
      </w:r>
    </w:p>
    <w:p w14:paraId="5C1CC1D3" w14:textId="77777777" w:rsidR="0011751F" w:rsidRPr="00F135F1" w:rsidRDefault="0011751F" w:rsidP="00F135F1">
      <w:pPr>
        <w:spacing w:after="0" w:line="480" w:lineRule="auto"/>
        <w:ind w:firstLine="720"/>
        <w:rPr>
          <w:rFonts w:ascii="Times New Roman" w:hAnsi="Times New Roman"/>
          <w:sz w:val="24"/>
          <w:szCs w:val="24"/>
        </w:rPr>
      </w:pPr>
    </w:p>
    <w:p w14:paraId="7812D934" w14:textId="77777777" w:rsidR="001176C2" w:rsidRPr="00F135F1" w:rsidRDefault="001176C2" w:rsidP="00F135F1">
      <w:pPr>
        <w:spacing w:after="0" w:line="480" w:lineRule="auto"/>
        <w:rPr>
          <w:rFonts w:ascii="Times New Roman" w:hAnsi="Times New Roman"/>
          <w:sz w:val="24"/>
          <w:szCs w:val="24"/>
        </w:rPr>
      </w:pPr>
    </w:p>
    <w:sectPr w:rsidR="001176C2" w:rsidRPr="00F135F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35C4" w14:textId="77777777" w:rsidR="008634F9" w:rsidRDefault="008634F9" w:rsidP="008634F9">
      <w:pPr>
        <w:spacing w:after="0" w:line="240" w:lineRule="auto"/>
      </w:pPr>
      <w:r>
        <w:separator/>
      </w:r>
    </w:p>
  </w:endnote>
  <w:endnote w:type="continuationSeparator" w:id="0">
    <w:p w14:paraId="18EBD828" w14:textId="77777777" w:rsidR="008634F9" w:rsidRDefault="008634F9" w:rsidP="0086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9455" w14:textId="77777777" w:rsidR="008634F9" w:rsidRDefault="008634F9" w:rsidP="008634F9">
      <w:pPr>
        <w:spacing w:after="0" w:line="240" w:lineRule="auto"/>
      </w:pPr>
      <w:r>
        <w:separator/>
      </w:r>
    </w:p>
  </w:footnote>
  <w:footnote w:type="continuationSeparator" w:id="0">
    <w:p w14:paraId="3DBDC6A0" w14:textId="77777777" w:rsidR="008634F9" w:rsidRDefault="008634F9" w:rsidP="0086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5B0D" w14:textId="77777777" w:rsidR="008634F9" w:rsidRPr="008634F9" w:rsidRDefault="008634F9" w:rsidP="008634F9">
    <w:pPr>
      <w:pStyle w:val="Header"/>
      <w:spacing w:after="0" w:line="480" w:lineRule="auto"/>
      <w:jc w:val="right"/>
      <w:rPr>
        <w:rFonts w:ascii="Times New Roman" w:hAnsi="Times New Roman"/>
        <w:sz w:val="24"/>
        <w:szCs w:val="24"/>
      </w:rPr>
    </w:pPr>
    <w:r w:rsidRPr="008634F9">
      <w:rPr>
        <w:rFonts w:ascii="Times New Roman" w:hAnsi="Times New Roman"/>
        <w:sz w:val="24"/>
        <w:szCs w:val="24"/>
      </w:rPr>
      <w:fldChar w:fldCharType="begin"/>
    </w:r>
    <w:r w:rsidRPr="008634F9">
      <w:rPr>
        <w:rFonts w:ascii="Times New Roman" w:hAnsi="Times New Roman"/>
        <w:sz w:val="24"/>
        <w:szCs w:val="24"/>
      </w:rPr>
      <w:instrText xml:space="preserve"> PAGE   \* MERGEFORMAT </w:instrText>
    </w:r>
    <w:r w:rsidRPr="008634F9">
      <w:rPr>
        <w:rFonts w:ascii="Times New Roman" w:hAnsi="Times New Roman"/>
        <w:sz w:val="24"/>
        <w:szCs w:val="24"/>
      </w:rPr>
      <w:fldChar w:fldCharType="separate"/>
    </w:r>
    <w:r w:rsidRPr="008634F9">
      <w:rPr>
        <w:rFonts w:ascii="Times New Roman" w:hAnsi="Times New Roman"/>
        <w:noProof/>
        <w:sz w:val="24"/>
        <w:szCs w:val="24"/>
      </w:rPr>
      <w:t>2</w:t>
    </w:r>
    <w:r w:rsidRPr="008634F9">
      <w:rPr>
        <w:rFonts w:ascii="Times New Roman" w:hAnsi="Times New Roman"/>
        <w:noProof/>
        <w:sz w:val="24"/>
        <w:szCs w:val="24"/>
      </w:rPr>
      <w:fldChar w:fldCharType="end"/>
    </w:r>
  </w:p>
  <w:p w14:paraId="25B0BFAB" w14:textId="77777777" w:rsidR="008634F9" w:rsidRPr="008634F9" w:rsidRDefault="008634F9" w:rsidP="008634F9">
    <w:pPr>
      <w:pStyle w:val="Header"/>
      <w:spacing w:after="0" w:line="48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C2"/>
    <w:rsid w:val="0011751F"/>
    <w:rsid w:val="001176C2"/>
    <w:rsid w:val="001E6462"/>
    <w:rsid w:val="008634F9"/>
    <w:rsid w:val="00C136C9"/>
    <w:rsid w:val="00C15491"/>
    <w:rsid w:val="00F1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A2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462"/>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4F9"/>
    <w:pPr>
      <w:tabs>
        <w:tab w:val="center" w:pos="4680"/>
        <w:tab w:val="right" w:pos="9360"/>
      </w:tabs>
    </w:pPr>
  </w:style>
  <w:style w:type="character" w:customStyle="1" w:styleId="HeaderChar">
    <w:name w:val="Header Char"/>
    <w:link w:val="Header"/>
    <w:uiPriority w:val="99"/>
    <w:rsid w:val="008634F9"/>
    <w:rPr>
      <w:sz w:val="22"/>
      <w:szCs w:val="22"/>
    </w:rPr>
  </w:style>
  <w:style w:type="paragraph" w:styleId="Footer">
    <w:name w:val="footer"/>
    <w:basedOn w:val="Normal"/>
    <w:link w:val="FooterChar"/>
    <w:uiPriority w:val="99"/>
    <w:unhideWhenUsed/>
    <w:rsid w:val="008634F9"/>
    <w:pPr>
      <w:tabs>
        <w:tab w:val="center" w:pos="4680"/>
        <w:tab w:val="right" w:pos="9360"/>
      </w:tabs>
    </w:pPr>
  </w:style>
  <w:style w:type="character" w:customStyle="1" w:styleId="FooterChar">
    <w:name w:val="Footer Char"/>
    <w:link w:val="Footer"/>
    <w:uiPriority w:val="99"/>
    <w:rsid w:val="008634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97/nne.0000000000000563" TargetMode="External"/><Relationship Id="rId13" Type="http://schemas.openxmlformats.org/officeDocument/2006/relationships/hyperlink" Target="https://doi.org/10.3389/fpsyg.2021.584333" TargetMode="External"/><Relationship Id="rId3" Type="http://schemas.openxmlformats.org/officeDocument/2006/relationships/webSettings" Target="webSettings.xml"/><Relationship Id="rId7" Type="http://schemas.openxmlformats.org/officeDocument/2006/relationships/hyperlink" Target="https://www.americannursetoday.com/wp-content/uploads/2015/11/ant11-CE-Civility-1023.pdf" TargetMode="External"/><Relationship Id="rId12" Type="http://schemas.openxmlformats.org/officeDocument/2006/relationships/hyperlink" Target="https://doi.org/10.3389/fpsyg.2021.56307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750/abm.v88i5-S.6838" TargetMode="External"/><Relationship Id="rId11" Type="http://schemas.openxmlformats.org/officeDocument/2006/relationships/hyperlink" Target="https://doi.org/10.1186/s12889-022-13161-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16/j.shaw.2019.04.002" TargetMode="External"/><Relationship Id="rId4" Type="http://schemas.openxmlformats.org/officeDocument/2006/relationships/footnotes" Target="footnotes.xml"/><Relationship Id="rId9" Type="http://schemas.openxmlformats.org/officeDocument/2006/relationships/hyperlink" Target="https://doi.org/10.1016/j.ijnurstu.2019.103487" TargetMode="External"/><Relationship Id="rId14" Type="http://schemas.openxmlformats.org/officeDocument/2006/relationships/hyperlink" Target="https://doi.org/10.1136/bmjopen-2018-021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2110</Words>
  <Characters>11652</Characters>
  <Application>Microsoft Office Word</Application>
  <DocSecurity>0</DocSecurity>
  <Lines>582</Lines>
  <Paragraphs>125</Paragraphs>
  <ScaleCrop>false</ScaleCrop>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2023-04-26T18:13:00Z</dcterms:created>
  <dcterms:modified xsi:type="dcterms:W3CDTF">2023-04-26T18:14:00Z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c91f5288ab49a5930ece952c1d29cddadda81944a42f31554c8eb14aba93bb29</vt:lpwstr>
  </property>
</Properties>
</file>